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132/2022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marca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223/2017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267/2007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 na rzecz najemców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lub prawie użytkowania wieczystego przynależnej części gruntu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 416/2013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333/2007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 na rzecz najemców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lub prawie użytkowania wieczystego przynależnej części gruntu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37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132/2022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31 marca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5"/>
        <w:gridCol w:w="2912"/>
        <w:gridCol w:w="1155"/>
        <w:gridCol w:w="975"/>
        <w:gridCol w:w="1111"/>
        <w:gridCol w:w="901"/>
        <w:gridCol w:w="946"/>
        <w:gridCol w:w="1021"/>
        <w:gridCol w:w="1967"/>
        <w:gridCol w:w="1907"/>
        <w:gridCol w:w="631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615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lokalu</w:t>
            </w:r>
            <w:r>
              <w:t> </w:t>
            </w:r>
          </w:p>
        </w:tc>
        <w:tc>
          <w:tcPr>
            <w:tcW w:w="483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nieruchomości gruntowej</w:t>
            </w:r>
            <w:r>
              <w:t>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 lokalowej w zł *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Ulica</w:t>
            </w:r>
            <w:r>
              <w:t>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budynku</w:t>
            </w:r>
            <w:r>
              <w:t>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  <w:r>
              <w:t> </w:t>
            </w:r>
            <w:r>
              <w:t xml:space="preserve">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9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KW</w:t>
            </w:r>
            <w:r>
              <w:t>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52,20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EL1E/00021291/2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227.700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Fabryczna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0,0498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EL1E/00029655/8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122.700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Malborska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0,0526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EL1E/00026449/0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165.100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0,1390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EL1E/00037373/6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91.500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71,60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0,0360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EL1E/00038970/8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235.000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Starowiejska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0,0795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EL1E/00024433/1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149.600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EL1E/00029330/4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155.100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40/6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0,0210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EL1E/00031290/8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235.000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Marii Konopnickiej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1149/1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0,0209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EL1E/00045063/9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130.700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132/2022 z dnia 31 marca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2022-04-04T08:05:03Z</dcterms:created>
  <dcterms:modified xsi:type="dcterms:W3CDTF">2022-04-04T08:05:03Z</dcterms:modified>
  <cp:category>Akt prawny</cp:category>
</cp:coreProperties>
</file>