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10/2022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28 marca 2022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nieruchomości przeznaczonych do zbycia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i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gospodarce nieruchomościami (t.j. Dz.U.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1899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ze zm.)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zbycia nieruchomości szczegółowo opisane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zbycia poszczególnych nieruchomości zostaną ustalone we właściwych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protokołach.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zbycia,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 do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1, podlega ogłoszeniu poprzez wywieszenie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 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Geodezji.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spacing w:before="120" w:after="0" w:line="240" w:lineRule="auto"/>
        <w:ind w:left="10436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 10/2022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28 marca 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przeznaczonych do zbycia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przetargu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600"/>
        <w:gridCol w:w="2252"/>
        <w:gridCol w:w="1216"/>
        <w:gridCol w:w="1141"/>
        <w:gridCol w:w="1066"/>
        <w:gridCol w:w="1066"/>
        <w:gridCol w:w="3798"/>
        <w:gridCol w:w="1156"/>
        <w:gridCol w:w="1441"/>
        <w:gridCol w:w="105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30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Lp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Adres</w:t>
            </w:r>
          </w:p>
        </w:tc>
        <w:tc>
          <w:tcPr>
            <w:tcW w:w="44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37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Opis i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przeznaczenie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nieruchomości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Forma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zbycia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249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Cena</w:t>
            </w:r>
          </w:p>
          <w:p>
            <w:pPr>
              <w:jc w:val="center"/>
            </w:pPr>
            <w:r>
              <w:rPr>
                <w:b/>
              </w:rPr>
              <w:t>nieruchomości*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KW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Nr dz.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 ha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Obręb</w:t>
            </w:r>
          </w:p>
        </w:tc>
        <w:tc>
          <w:tcPr>
            <w:tcW w:w="37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9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3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2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9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15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Żeglarska 38</w:t>
            </w:r>
          </w:p>
        </w:tc>
        <w:tc>
          <w:tcPr>
            <w:tcW w:w="12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30094/7</w:t>
            </w:r>
          </w:p>
        </w:tc>
        <w:tc>
          <w:tcPr>
            <w:tcW w:w="1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455</w:t>
            </w:r>
          </w:p>
        </w:tc>
        <w:tc>
          <w:tcPr>
            <w:tcW w:w="10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0,0401</w:t>
            </w:r>
          </w:p>
        </w:tc>
        <w:tc>
          <w:tcPr>
            <w:tcW w:w="10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10</w:t>
            </w:r>
          </w:p>
        </w:tc>
        <w:tc>
          <w:tcPr>
            <w:tcW w:w="37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  <w:p>
            <w:pPr>
              <w:jc w:val="center"/>
            </w:pPr>
            <w:r>
              <w:rPr>
                <w:sz w:val="20"/>
              </w:rPr>
              <w:t>Lokal mieszkalny nr 3 o pow. 16,9 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,wraz z przynależną piwnicą o  pow. 2,5 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 xml:space="preserve"> .</w:t>
            </w:r>
          </w:p>
          <w:p>
            <w:pPr>
              <w:jc w:val="center"/>
            </w:pPr>
            <w:r>
              <w:rPr>
                <w:sz w:val="20"/>
              </w:rPr>
              <w:t>Z lokalem związany jest udział 0,026 w częściach wspólnych i niepodzielnych oraz w prawie własności gruntu.</w:t>
            </w:r>
          </w:p>
        </w:tc>
        <w:tc>
          <w:tcPr>
            <w:tcW w:w="1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</w:p>
        </w:tc>
        <w:tc>
          <w:tcPr>
            <w:tcW w:w="249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40.000 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145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6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6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79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5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9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w tym: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145"/>
        </w:trPr>
        <w:tc>
          <w:tcPr>
            <w:tcW w:w="60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4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79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5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lokal: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37.751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72"/>
        </w:trPr>
        <w:tc>
          <w:tcPr>
            <w:tcW w:w="6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4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7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440" w:type="dxa"/>
            <w:tcBorders>
              <w:top w:val="nil"/>
              <w:left w:val="single" w:sz="2" w:space="0" w:color="auto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udział w gruncie: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2.249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72"/>
        </w:trPr>
        <w:tc>
          <w:tcPr>
            <w:tcW w:w="6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4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7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90" w:type="dxa"/>
            <w:gridSpan w:val="2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 xml:space="preserve">plus podatek VAT zgodnie </w:t>
            </w:r>
          </w:p>
          <w:p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14367"/>
        <w:gridCol w:w="420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465"/>
        </w:trPr>
        <w:tc>
          <w:tcPr>
            <w:tcW w:w="14775" w:type="dxa"/>
            <w:gridSpan w:val="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* Osoby, o których mowa w art.34 ust.1 ustawy o gospodarce nieruchomościami nabywają nieruchomość za cenę określoną na podstawie art.67 ust.3 ustawy o gospodarce nieruchomościami. </w:t>
            </w:r>
          </w:p>
          <w:p>
            <w:pPr>
              <w:jc w:val="both"/>
            </w:pPr>
            <w:r>
              <w:rPr>
                <w:sz w:val="18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nabycie przed upływem terminu określonego w wykazie: termin złożenia wniosku nie może być krótszy niż 6 tygodni, licząc od dnia wywieszenia wykazu.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gridAfter w:val="1"/>
          <w:wAfter w:w="420" w:type="dxa"/>
          <w:trHeight w:val="465"/>
        </w:trPr>
        <w:tc>
          <w:tcPr>
            <w:tcW w:w="1435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gridAfter w:val="1"/>
          <w:wAfter w:w="420" w:type="dxa"/>
          <w:trHeight w:val="465"/>
        </w:trPr>
        <w:tc>
          <w:tcPr>
            <w:tcW w:w="1435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i/>
                <w:sz w:val="18"/>
              </w:rPr>
              <w:t>Sporządziła: Katarzyna Zaborowska, Podinspektor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10/2022 z dnia 28 marca 2022 r.</dc:title>
  <dc:subject>w sprawie sporządzenia i^ogłoszenia wykazu nieruchomości przeznaczonych do zbycia</dc:subject>
  <dc:creator>kazab</dc:creator>
  <cp:lastModifiedBy>kazab</cp:lastModifiedBy>
  <cp:revision>1</cp:revision>
  <dcterms:created xsi:type="dcterms:W3CDTF">2022-03-30T09:00:14Z</dcterms:created>
  <dcterms:modified xsi:type="dcterms:W3CDTF">2022-03-30T09:00:14Z</dcterms:modified>
  <cp:category>Akt prawny</cp:category>
</cp:coreProperties>
</file>