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114/2022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marca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114/2022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28 marca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242"/>
        <w:gridCol w:w="1241"/>
        <w:gridCol w:w="1062"/>
        <w:gridCol w:w="1092"/>
        <w:gridCol w:w="897"/>
        <w:gridCol w:w="3797"/>
        <w:gridCol w:w="1286"/>
        <w:gridCol w:w="25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30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6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Warszawska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38955/7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469/5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0,0026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3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Nieruchomość niezabudowana, zbycie bezprzetargowo, w</w:t>
            </w:r>
            <w:r>
              <w:t> </w:t>
            </w:r>
            <w:r>
              <w:t>trybie art.</w:t>
            </w:r>
            <w:r>
              <w:t> </w:t>
            </w:r>
            <w:r>
              <w:t>37</w:t>
            </w:r>
            <w:r>
              <w:t> </w:t>
            </w:r>
            <w:r>
              <w:t>ust.2 pkt</w:t>
            </w:r>
            <w:r>
              <w:t> </w:t>
            </w:r>
            <w:r>
              <w:t>6) u.g.n., tj. celem poprawy warunków zagospodarowania nieruchomości przyległej.</w:t>
            </w:r>
          </w:p>
          <w:p>
            <w:pPr>
              <w:jc w:val="center"/>
            </w:pPr>
            <w:r>
              <w:t>Przeznaczenie w</w:t>
            </w:r>
            <w:r>
              <w:t> </w:t>
            </w:r>
            <w:r>
              <w:t>mpzp: tereny zabudowy przemysłowo-składowej.</w:t>
            </w:r>
          </w:p>
        </w:tc>
        <w:tc>
          <w:tcPr>
            <w:tcW w:w="12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użytkowanie wieczyste</w:t>
            </w:r>
          </w:p>
        </w:tc>
        <w:tc>
          <w:tcPr>
            <w:tcW w:w="25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71.395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Żuławska</w:t>
            </w:r>
          </w:p>
          <w:p>
            <w:pPr>
              <w:jc w:val="center"/>
            </w:pPr>
            <w:r>
              <w:t>ul. Grochowska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15976/3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387/1</w:t>
            </w:r>
          </w:p>
          <w:p>
            <w:pPr>
              <w:jc w:val="center"/>
            </w:pPr>
            <w:r>
              <w:t>376/1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0,0574</w:t>
            </w:r>
          </w:p>
          <w:p>
            <w:pPr>
              <w:jc w:val="center"/>
            </w:pPr>
            <w:r>
              <w:t>0,0106</w:t>
            </w: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Ostrołęcka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76537/9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472/1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0,0040</w:t>
            </w: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3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* </w:t>
            </w:r>
          </w:p>
        </w:tc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Osoby, o których mowa w art.34 ust.1 ustawy o gospodarce nieruchomościami nabywają nieruchomość za cenę określoną na podstawie art.67 ust.3 ustawy o gospodarce nieruchomościami.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Pierwsza opłata z tyt. ustanowienia prawa użytkowania wieczystego stanowi 25% wartości gruntu (plus VAT - zgodnie z obowiązującymi przepisami). Opłata jest płatna przed zawarciem umowy sprzedaży.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Kolejne opłaty roczne, stanowiące 3% wartości gruntu (plus VAT - zgodnie z obowiązującymi przepisami) i płatne są z góry w terminie do 31 marca każdego roku.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Wysokość opłat rocznych może być aktualizowana na skutek zmian wartości gruntu, nie częściej niż raz na 3 lata.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83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114/2022 z dnia 28 marca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2022-03-29T10:59:20Z</dcterms:created>
  <dcterms:modified xsi:type="dcterms:W3CDTF">2022-03-29T10:59:20Z</dcterms:modified>
  <cp:category>Akt prawny</cp:category>
</cp:coreProperties>
</file>