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61"/>
        <w:gridCol w:w="1967"/>
        <w:gridCol w:w="1066"/>
        <w:gridCol w:w="901"/>
        <w:gridCol w:w="811"/>
        <w:gridCol w:w="3123"/>
        <w:gridCol w:w="1441"/>
        <w:gridCol w:w="24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  <w:p>
            <w:pPr>
              <w:jc w:val="left"/>
            </w:pPr>
            <w:r>
              <w:t>52-54-56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EL1E/00026439/7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226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0,0474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Boks garażowy</w:t>
            </w:r>
          </w:p>
          <w:p>
            <w:pPr>
              <w:jc w:val="center"/>
            </w:pPr>
            <w:r>
              <w:rPr>
                <w:sz w:val="20"/>
              </w:rPr>
              <w:t>o pow. użytkowej 15,07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 Zlokalizowany w budynku wielorodzinnym.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najemcy.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19.620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2.570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112/2022 z dnia 28 marca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2022-03-29T10:57:15Z</dcterms:created>
  <dcterms:modified xsi:type="dcterms:W3CDTF">2022-03-29T10:57:15Z</dcterms:modified>
  <cp:category>Akt prawny</cp:category>
</cp:coreProperties>
</file>