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6779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81/2022</w:t>
      </w:r>
      <w:r>
        <w:rPr>
          <w:b/>
          <w:caps/>
        </w:rPr>
        <w:br/>
        <w:t>Prezydenta Miasta Elbląg</w:t>
      </w:r>
    </w:p>
    <w:p w:rsidR="00A77B3E" w:rsidRDefault="00F67795">
      <w:pPr>
        <w:spacing w:before="280" w:after="280"/>
        <w:jc w:val="center"/>
        <w:rPr>
          <w:b/>
          <w:caps/>
        </w:rPr>
      </w:pPr>
      <w:r>
        <w:t>z dnia 10 marca 2022 r.</w:t>
      </w:r>
    </w:p>
    <w:p w:rsidR="00A77B3E" w:rsidRDefault="00F6779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67795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F6779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677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F6779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F677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F6779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F677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6779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67795">
      <w:pPr>
        <w:keepNext/>
        <w:spacing w:line="360" w:lineRule="auto"/>
        <w:ind w:left="104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81/2022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10 marca 2022 r.</w:t>
      </w:r>
    </w:p>
    <w:p w:rsidR="00A77B3E" w:rsidRDefault="00F6779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1886"/>
        <w:gridCol w:w="1500"/>
        <w:gridCol w:w="1428"/>
        <w:gridCol w:w="2373"/>
        <w:gridCol w:w="2760"/>
        <w:gridCol w:w="1858"/>
      </w:tblGrid>
      <w:tr w:rsidR="00AE6957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AE6957" w:rsidRDefault="00F67795">
            <w:pPr>
              <w:jc w:val="center"/>
            </w:pPr>
            <w:r>
              <w:t>w ha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AE6957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AE6957" w:rsidRDefault="00F67795">
            <w:pPr>
              <w:jc w:val="center"/>
            </w:pPr>
            <w:r>
              <w:t>w ha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E695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AE695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142/2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EL1E/00031821/0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0,0467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Donimirskich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pod obudowy, pojemniki na śmieci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36,90 zł/m-c</w:t>
            </w:r>
          </w:p>
        </w:tc>
      </w:tr>
      <w:tr w:rsidR="00AE695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632/5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0,0047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0,0047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ul. Konstantego I. Gałczyńskiego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AE695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165/7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EL1E/00053755/6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0,3892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0,0225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 xml:space="preserve">ul. Bolesława Chrobrego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E695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 xml:space="preserve">4.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10/13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EL1E/00036417/0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0,0540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0,0026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ul. Braniewska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AE695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 xml:space="preserve">5.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478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EL1E/00035277/9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ul. Garnizonowa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AE695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10/21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rPr>
                <w:color w:val="000000"/>
                <w:u w:color="000000"/>
              </w:rPr>
            </w:pPr>
            <w:r>
              <w:t>EL1E/00036417/0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0,0117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 xml:space="preserve">ul. Braniewska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779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F67795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</w:t>
      </w:r>
      <w:r>
        <w:rPr>
          <w:color w:val="000000"/>
          <w:u w:color="000000"/>
        </w:rPr>
        <w:t>płatny jest w terminie 3 miesięcy od początku okresu rozliczeniowego.</w:t>
      </w:r>
    </w:p>
    <w:p w:rsidR="00A77B3E" w:rsidRDefault="00F67795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F67795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</w:t>
      </w:r>
      <w:r>
        <w:rPr>
          <w:color w:val="000000"/>
          <w:u w:color="000000"/>
        </w:rPr>
        <w:t>ustalenia stawek czynszu za dzierżawę i najem nieruchomości oraz cenników opłat za korzystanie z obiektów sportowych stanowiących miejski zasób nieruchomości.</w:t>
      </w:r>
    </w:p>
    <w:p w:rsidR="00A77B3E" w:rsidRDefault="00F67795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AE6957"/>
    <w:rsid w:val="00CA2A55"/>
    <w:rsid w:val="00F6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4390FF-8C9F-4E49-B6BD-3A474B3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81/2022 z dnia 10 marca 2022 r.</vt:lpstr>
      <vt:lpstr/>
    </vt:vector>
  </TitlesOfParts>
  <Company>Prezydent Miasta Elbląg</Company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81/2022 z dnia 10 marca 2022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2022-03-14T07:28:00Z</dcterms:created>
  <dcterms:modified xsi:type="dcterms:W3CDTF">2022-03-14T07:28:00Z</dcterms:modified>
  <cp:category>Akt prawny</cp:category>
</cp:coreProperties>
</file>