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D12B07">
      <w:pPr>
        <w:jc w:val="center"/>
        <w:rPr>
          <w:b/>
          <w:caps/>
        </w:rPr>
      </w:pPr>
      <w:r>
        <w:rPr>
          <w:b/>
          <w:caps/>
        </w:rPr>
        <w:t>Zarządzenie Nr 76/2022</w:t>
      </w:r>
      <w:r>
        <w:rPr>
          <w:b/>
          <w:caps/>
        </w:rPr>
        <w:br/>
        <w:t>Prezydenta Miasta Elbląg</w:t>
      </w:r>
    </w:p>
    <w:p w:rsidR="00A77B3E" w:rsidRDefault="00D12B07">
      <w:pPr>
        <w:spacing w:before="280" w:after="280"/>
        <w:jc w:val="center"/>
        <w:rPr>
          <w:b/>
          <w:caps/>
        </w:rPr>
      </w:pPr>
      <w:r>
        <w:t>z dnia 9 marca 2022 r.</w:t>
      </w:r>
    </w:p>
    <w:p w:rsidR="00A77B3E" w:rsidRDefault="00D12B07">
      <w:pPr>
        <w:keepNext/>
        <w:jc w:val="center"/>
      </w:pPr>
      <w:r>
        <w:rPr>
          <w:b/>
        </w:rPr>
        <w:t>w sprawie sporządzenia i ogłoszenia wykazu lokali mieszkalnych przeznaczonych do sprzedaży na rzecz najemców oraz udzielenia bonifikat od ceny sprzedaży lokali.</w:t>
      </w:r>
    </w:p>
    <w:p w:rsidR="00A77B3E" w:rsidRDefault="00D12B07">
      <w:pPr>
        <w:keepLines/>
        <w:spacing w:before="120" w:after="120"/>
      </w:pPr>
      <w:r>
        <w:t xml:space="preserve">Na podstawie art.35 </w:t>
      </w:r>
      <w:r>
        <w:t>ust.1 i 2, art.37 ust.2 pkt 1 i art. 68 ust.1 pkt. 7 ustawy z dnia 21 sierpnia 1997 r. o gospodarce nieruchomościami (</w:t>
      </w:r>
      <w:proofErr w:type="spellStart"/>
      <w:r>
        <w:t>t.j</w:t>
      </w:r>
      <w:proofErr w:type="spellEnd"/>
      <w:r>
        <w:t xml:space="preserve">. Dz. U. z 2021 r. poz. 1899 ze zmianami) oraz §1 uchwały Nr XXIII/538/05 Rady Miejskiej w Elblągu z dnia 23 czerwca 2005 r. w sprawie </w:t>
      </w:r>
      <w:r>
        <w:t>zasad udzielania bonifikat od ceny sprzedaży lokali mieszkalnych na rzecz ich najemców (</w:t>
      </w:r>
      <w:proofErr w:type="spellStart"/>
      <w:r>
        <w:t>t.j</w:t>
      </w:r>
      <w:proofErr w:type="spellEnd"/>
      <w:r>
        <w:t xml:space="preserve">. </w:t>
      </w:r>
      <w:proofErr w:type="spellStart"/>
      <w:r>
        <w:t>Dz.Urz.Woj</w:t>
      </w:r>
      <w:proofErr w:type="spellEnd"/>
      <w:r>
        <w:t xml:space="preserve">. </w:t>
      </w:r>
      <w:proofErr w:type="spellStart"/>
      <w:r>
        <w:t>Warm</w:t>
      </w:r>
      <w:proofErr w:type="spellEnd"/>
      <w:r>
        <w:t>.-Mazur. z 2016 r. poz. 4693),</w:t>
      </w:r>
    </w:p>
    <w:p w:rsidR="00A77B3E" w:rsidRDefault="00D12B07">
      <w:pPr>
        <w:spacing w:before="120" w:after="120"/>
        <w:jc w:val="center"/>
      </w:pPr>
      <w:r>
        <w:t>zarządza się, co następuje: </w:t>
      </w:r>
    </w:p>
    <w:p w:rsidR="00A77B3E" w:rsidRDefault="00D12B0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sprzedaży lokale m</w:t>
      </w:r>
      <w:r>
        <w:t>ieszkalne wraz z udziałami w prawie własności przynależnych części nieruchomości gruntowych, szczegółowo opisanych w załączniku do niniejszego zarządzenia, na rzecz najemców tych lokali.</w:t>
      </w:r>
    </w:p>
    <w:p w:rsidR="00A77B3E" w:rsidRDefault="00D12B07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Udziela się bonifikaty od ceny sprzedaży lokali mieszkalnych, o kt</w:t>
      </w:r>
      <w:r>
        <w:rPr>
          <w:color w:val="000000"/>
          <w:u w:color="000000"/>
        </w:rPr>
        <w:t>órych mowa w ust.1, w wysokościach jak w załączniku do niniejszego zarządzenia.</w:t>
      </w:r>
    </w:p>
    <w:p w:rsidR="00A77B3E" w:rsidRDefault="00D12B07">
      <w:pPr>
        <w:keepLines/>
        <w:spacing w:before="120" w:after="12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Szczegółowe warunki sprzedaży nieruchomości lokalowych zostaną ustalone w protokołach </w:t>
      </w:r>
      <w:r>
        <w:rPr>
          <w:color w:val="000000"/>
          <w:u w:color="000000"/>
        </w:rPr>
        <w:br/>
        <w:t>z rokowań.</w:t>
      </w:r>
    </w:p>
    <w:p w:rsidR="00A77B3E" w:rsidRDefault="00D12B0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</w:t>
      </w:r>
      <w:r>
        <w:rPr>
          <w:color w:val="000000"/>
          <w:u w:color="000000"/>
        </w:rPr>
        <w:t>ych w załączniku do niniejszego zarządzenia.</w:t>
      </w:r>
    </w:p>
    <w:p w:rsidR="00A77B3E" w:rsidRDefault="00D12B07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 </w:t>
      </w:r>
      <w:r>
        <w:rPr>
          <w:color w:val="000000"/>
          <w:u w:color="000000"/>
        </w:rPr>
        <w:br/>
        <w:t>na tablicy ogłoszeń w siedzibie Urzędu Miejskiego w Elblągu na okres 21 dni, a ponadto </w:t>
      </w:r>
      <w:r>
        <w:rPr>
          <w:color w:val="000000"/>
          <w:u w:color="000000"/>
        </w:rPr>
        <w:br/>
        <w:t>informacja o jego wywieszeniu podana</w:t>
      </w:r>
      <w:r>
        <w:rPr>
          <w:color w:val="000000"/>
          <w:u w:color="000000"/>
        </w:rPr>
        <w:t xml:space="preserve"> zostanie do wiadomości publicznej poprzez ogłoszenie w prasie lokalnej.</w:t>
      </w:r>
    </w:p>
    <w:p w:rsidR="00A77B3E" w:rsidRDefault="00D12B0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nastąpi w drodze umów w formie aktu notarialnego.</w:t>
      </w:r>
    </w:p>
    <w:p w:rsidR="00A77B3E" w:rsidRDefault="00D12B0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D12B07" w:rsidRDefault="00D12B07">
      <w:pPr>
        <w:keepLines/>
        <w:spacing w:before="120" w:after="120"/>
        <w:rPr>
          <w:color w:val="000000"/>
          <w:u w:color="000000"/>
        </w:rPr>
        <w:sectPr w:rsidR="00D12B07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A77B3E" w:rsidRDefault="00D12B07">
      <w:pPr>
        <w:ind w:left="9488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76/2022</w:t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t>Prezydenta Miasta Elbląg </w:t>
      </w:r>
      <w:r>
        <w:rPr>
          <w:color w:val="000000"/>
          <w:u w:color="000000"/>
        </w:rPr>
        <w:br/>
        <w:t>z dnia 9 marca 2022 r.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87"/>
      </w:tblGrid>
      <w:tr w:rsidR="0059153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</w:tbl>
    <w:p w:rsidR="00A77B3E" w:rsidRDefault="00D12B07">
      <w:pPr>
        <w:spacing w:before="120" w:after="12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 lokali mieszkalnych przeznaczonych do sprzedaży w trybie bezprzetargowym na rzecz ich najemców wraz z udziałem w prawie własności przynależnej części gruntu</w:t>
      </w:r>
      <w:r>
        <w:rPr>
          <w:color w:val="000000"/>
          <w:u w:color="000000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9"/>
        <w:gridCol w:w="2972"/>
        <w:gridCol w:w="1156"/>
        <w:gridCol w:w="976"/>
        <w:gridCol w:w="1111"/>
        <w:gridCol w:w="901"/>
        <w:gridCol w:w="916"/>
        <w:gridCol w:w="1051"/>
        <w:gridCol w:w="2072"/>
        <w:gridCol w:w="1726"/>
        <w:gridCol w:w="631"/>
        <w:gridCol w:w="706"/>
      </w:tblGrid>
      <w:tr w:rsidR="00591536">
        <w:trPr>
          <w:gridAfter w:val="1"/>
          <w:wAfter w:w="705" w:type="dxa"/>
        </w:trPr>
        <w:tc>
          <w:tcPr>
            <w:tcW w:w="1407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591536">
        <w:trPr>
          <w:trHeight w:val="273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Lp.</w:t>
            </w:r>
          </w:p>
        </w:tc>
        <w:tc>
          <w:tcPr>
            <w:tcW w:w="6210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Oznaczenie lokalu </w:t>
            </w:r>
          </w:p>
        </w:tc>
        <w:tc>
          <w:tcPr>
            <w:tcW w:w="4935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 xml:space="preserve">Oznaczenie </w:t>
            </w:r>
            <w:r>
              <w:rPr>
                <w:sz w:val="24"/>
              </w:rPr>
              <w:t>nieruchomości gruntowej </w:t>
            </w:r>
          </w:p>
        </w:tc>
        <w:tc>
          <w:tcPr>
            <w:tcW w:w="17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Cena nieruchomości lokalowej w zł</w:t>
            </w:r>
          </w:p>
        </w:tc>
        <w:tc>
          <w:tcPr>
            <w:tcW w:w="1335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Stawka bonifikaty</w:t>
            </w:r>
            <w:r>
              <w:rPr>
                <w:color w:val="000000"/>
                <w:sz w:val="24"/>
                <w:u w:color="000000"/>
              </w:rPr>
              <w:br/>
              <w:t>w % </w:t>
            </w:r>
          </w:p>
        </w:tc>
      </w:tr>
      <w:tr w:rsidR="00591536"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Ulica </w:t>
            </w:r>
          </w:p>
        </w:tc>
        <w:tc>
          <w:tcPr>
            <w:tcW w:w="11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Nr budynku </w:t>
            </w:r>
          </w:p>
        </w:tc>
        <w:tc>
          <w:tcPr>
            <w:tcW w:w="9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Nr </w:t>
            </w:r>
            <w:r>
              <w:rPr>
                <w:color w:val="000000"/>
                <w:sz w:val="24"/>
                <w:u w:color="000000"/>
              </w:rPr>
              <w:br/>
              <w:t>lokalu </w:t>
            </w:r>
          </w:p>
        </w:tc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 xml:space="preserve">Pow. </w:t>
            </w:r>
            <w:proofErr w:type="spellStart"/>
            <w:r>
              <w:rPr>
                <w:color w:val="000000"/>
                <w:sz w:val="24"/>
                <w:u w:color="000000"/>
              </w:rPr>
              <w:t>użytk</w:t>
            </w:r>
            <w:proofErr w:type="spellEnd"/>
            <w:r>
              <w:rPr>
                <w:color w:val="000000"/>
                <w:sz w:val="24"/>
                <w:u w:color="000000"/>
              </w:rPr>
              <w:t>. </w:t>
            </w:r>
            <w:r>
              <w:rPr>
                <w:color w:val="000000"/>
                <w:sz w:val="24"/>
                <w:u w:color="000000"/>
              </w:rPr>
              <w:br/>
              <w:t>w m</w:t>
            </w:r>
            <w:r>
              <w:rPr>
                <w:color w:val="000000"/>
                <w:sz w:val="24"/>
                <w:u w:color="000000"/>
                <w:vertAlign w:val="superscript"/>
              </w:rPr>
              <w:t>2</w:t>
            </w:r>
          </w:p>
        </w:tc>
        <w:tc>
          <w:tcPr>
            <w:tcW w:w="9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Nr działki</w:t>
            </w:r>
          </w:p>
        </w:tc>
        <w:tc>
          <w:tcPr>
            <w:tcW w:w="9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Nr  obrębu</w:t>
            </w: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Pow. </w:t>
            </w:r>
            <w:r>
              <w:rPr>
                <w:color w:val="000000"/>
                <w:sz w:val="24"/>
                <w:u w:color="000000"/>
              </w:rPr>
              <w:br/>
              <w:t>w ha </w:t>
            </w:r>
          </w:p>
        </w:tc>
        <w:tc>
          <w:tcPr>
            <w:tcW w:w="20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Nr KW </w:t>
            </w:r>
          </w:p>
        </w:tc>
        <w:tc>
          <w:tcPr>
            <w:tcW w:w="17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591536"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left"/>
              <w:rPr>
                <w:color w:val="000000"/>
                <w:u w:color="000000"/>
              </w:rPr>
            </w:pPr>
            <w:r>
              <w:t>Brzeska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16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55,4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103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11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0,0598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EL1E/00027427/7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49.350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70</w:t>
            </w:r>
          </w:p>
        </w:tc>
      </w:tr>
      <w:tr w:rsidR="00591536"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left"/>
              <w:rPr>
                <w:color w:val="000000"/>
                <w:u w:color="000000"/>
              </w:rPr>
            </w:pPr>
            <w:r>
              <w:t xml:space="preserve">Fromborska 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7/III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47,2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676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0,0465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EL1E/00039421/2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185.100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65</w:t>
            </w:r>
          </w:p>
        </w:tc>
      </w:tr>
      <w:tr w:rsidR="00591536"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left"/>
              <w:rPr>
                <w:color w:val="000000"/>
                <w:u w:color="000000"/>
              </w:rPr>
            </w:pPr>
            <w:r>
              <w:t>Aleja Grunwaldzka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175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43,1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621/1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17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0,0504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EL1E/00033267/2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148.300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70</w:t>
            </w:r>
          </w:p>
        </w:tc>
      </w:tr>
      <w:tr w:rsidR="00591536"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left"/>
              <w:rPr>
                <w:color w:val="000000"/>
                <w:u w:color="000000"/>
              </w:rPr>
            </w:pPr>
            <w:r>
              <w:t>Hetmańska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44,6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274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15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0,0760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EL1E/00026739/0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182.100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65</w:t>
            </w:r>
          </w:p>
        </w:tc>
      </w:tr>
      <w:tr w:rsidR="00591536"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left"/>
              <w:rPr>
                <w:color w:val="000000"/>
                <w:u w:color="000000"/>
              </w:rPr>
            </w:pPr>
            <w:r>
              <w:t>Huzarska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19a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64,0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36/1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21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0,0263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EL1E/00037984/2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217.100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70</w:t>
            </w:r>
          </w:p>
        </w:tc>
      </w:tr>
      <w:tr w:rsidR="00591536"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left"/>
              <w:rPr>
                <w:color w:val="000000"/>
                <w:u w:color="000000"/>
              </w:rPr>
            </w:pPr>
            <w:r>
              <w:t>Tadeusza Kościuszki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59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50,3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136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18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0,0616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EL1E/00030135/7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176.600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70</w:t>
            </w:r>
          </w:p>
        </w:tc>
      </w:tr>
      <w:tr w:rsidR="00591536"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7.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left"/>
              <w:rPr>
                <w:color w:val="000000"/>
                <w:u w:color="000000"/>
              </w:rPr>
            </w:pPr>
            <w:r>
              <w:t>Jana Kilińskiego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51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41,2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143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22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0,0231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EL1E/00034239/4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133.000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70</w:t>
            </w:r>
          </w:p>
        </w:tc>
      </w:tr>
      <w:tr w:rsidR="00591536"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8.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left"/>
              <w:rPr>
                <w:color w:val="000000"/>
                <w:u w:color="000000"/>
              </w:rPr>
            </w:pPr>
            <w:r>
              <w:t>Malborska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86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48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58,5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246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22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0,0526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EL1E/00028277/7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238.500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65</w:t>
            </w:r>
          </w:p>
        </w:tc>
      </w:tr>
      <w:tr w:rsidR="00591536"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9.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left"/>
              <w:rPr>
                <w:color w:val="000000"/>
                <w:u w:color="000000"/>
              </w:rPr>
            </w:pPr>
            <w:r>
              <w:t>Ogrodowa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14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39,2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390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16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0,0230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EL1E/00051398/1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129.800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70</w:t>
            </w:r>
          </w:p>
        </w:tc>
      </w:tr>
      <w:tr w:rsidR="00591536"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10.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left"/>
              <w:rPr>
                <w:color w:val="000000"/>
                <w:u w:color="000000"/>
              </w:rPr>
            </w:pPr>
            <w:r>
              <w:t>Świerkowa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13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42,6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148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10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0,0621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EL1E/00033670/0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129.500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2B07">
            <w:pPr>
              <w:jc w:val="center"/>
              <w:rPr>
                <w:color w:val="000000"/>
                <w:u w:color="000000"/>
              </w:rPr>
            </w:pPr>
            <w:r>
              <w:t>70</w:t>
            </w:r>
          </w:p>
        </w:tc>
      </w:tr>
      <w:tr w:rsidR="00591536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591536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D12B07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*Osoby, o których mowa w art.34 ust.1 ustawy o gospodarce nieruchomościami nabywają nieruchomość za cenę określoną na podstawie art.67 ust.3 ustawy o gospodarce</w:t>
            </w:r>
            <w:r>
              <w:rPr>
                <w:sz w:val="16"/>
              </w:rPr>
              <w:t xml:space="preserve"> nieruchomościami </w:t>
            </w:r>
          </w:p>
        </w:tc>
      </w:tr>
      <w:tr w:rsidR="00591536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D12B07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</w:t>
            </w:r>
            <w:r>
              <w:rPr>
                <w:sz w:val="16"/>
              </w:rPr>
              <w:t>bycie w terminie 6 tygodni, licząc od dnia wywieszenia wykazu. </w:t>
            </w:r>
          </w:p>
        </w:tc>
      </w:tr>
      <w:tr w:rsidR="00591536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591536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D12B07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6"/>
              </w:rPr>
              <w:t>Sporządziła: Arleta Linda, Starszy Inspektor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591536"/>
    <w:rsid w:val="00A77B3E"/>
    <w:rsid w:val="00CA2A55"/>
    <w:rsid w:val="00D12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F484699-9785-4784-AC48-4582159A9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487</Words>
  <Characters>2928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3409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76/2022 z dnia 9 marca 2022 r.</dc:title>
  <dc:subject>w sprawie sporządzenia i^ogłoszenia wykazu lokali mieszkalnych przeznaczonych do sprzedaży na rzecz najemców oraz udzielenia bonifikat od ceny sprzedaży lokali.</dc:subject>
  <dc:creator>arlin</dc:creator>
  <cp:lastModifiedBy>Arleta Linda</cp:lastModifiedBy>
  <cp:revision>2</cp:revision>
  <dcterms:created xsi:type="dcterms:W3CDTF">2022-03-10T11:19:00Z</dcterms:created>
  <dcterms:modified xsi:type="dcterms:W3CDTF">2022-03-10T10:19:00Z</dcterms:modified>
  <cp:category>Akt prawny</cp:category>
</cp:coreProperties>
</file>