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517/2021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8 grudnia 2021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1899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Traci moc Zarządzenie Nr 10/2021 Prezydenta Miasta Elbląg z dnia 18 stycznia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sporządzenia i ogłoszenia wykazu nieruchomości przeznaczonych do zbycia.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załączniku do Zarządzenia Nr 427/2021 Prezydenta Miasta Elbląg z dnia 1 października 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sporządzenia i ogłoszenia wykazu nieruchomości przeznaczonych do zbycia, skreśla się poz. 2.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120" w:beforeAutospacing="0" w:after="0" w:afterAutospacing="0" w:line="240" w:lineRule="auto"/>
        <w:ind w:left="4535" w:right="0" w:firstLine="0"/>
        <w:contextualSpacing w:val="0"/>
        <w:jc w:val="left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 xml:space="preserve">Załącznik do Zarządzenia Nr </w:t>
      </w:r>
      <w:r>
        <w:rPr>
          <w:szCs w:val="20"/>
        </w:rPr>
        <w:t>517/2021</w:t>
      </w:r>
      <w:r>
        <w:rPr>
          <w:szCs w:val="20"/>
          <w:lang w:val="x-none" w:eastAsia="en-US" w:bidi="ar-SA"/>
        </w:rPr>
        <w:br/>
        <w:t>Prezydenta Miasta Elbląg</w:t>
        <w:br/>
        <w:t>z dnia</w:t>
      </w:r>
      <w:r>
        <w:rPr>
          <w:szCs w:val="20"/>
        </w:rPr>
        <w:t xml:space="preserve"> 8 grudnia </w:t>
      </w:r>
      <w:r>
        <w:rPr>
          <w:szCs w:val="20"/>
          <w:lang w:val="x-none" w:eastAsia="en-US" w:bidi="ar-SA"/>
        </w:rPr>
        <w:t>2021 r.</w:t>
      </w: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  <w:lang w:val="x-none" w:eastAsia="en-US" w:bidi="ar-SA"/>
        </w:rPr>
      </w:pPr>
      <w:r>
        <w:rPr>
          <w:b/>
          <w:szCs w:val="20"/>
          <w:lang w:val="x-none" w:eastAsia="en-US" w:bidi="ar-SA"/>
        </w:rPr>
        <w:t>WYKAZ</w:t>
        <w:br/>
        <w:t>nieruchomości przeznaczonych do zbycia w drodze przetargu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00"/>
        <w:gridCol w:w="2252"/>
        <w:gridCol w:w="1216"/>
        <w:gridCol w:w="1141"/>
        <w:gridCol w:w="1066"/>
        <w:gridCol w:w="1066"/>
        <w:gridCol w:w="3798"/>
        <w:gridCol w:w="1156"/>
        <w:gridCol w:w="1441"/>
        <w:gridCol w:w="105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  <w:r>
              <w:rPr>
                <w:b/>
                <w:szCs w:val="20"/>
                <w:lang w:val="x-none" w:eastAsia="en-US" w:bidi="ar-SA"/>
              </w:rPr>
              <w:t>Lp</w:t>
            </w:r>
            <w:r>
              <w:rPr>
                <w:color w:val="000000"/>
                <w:szCs w:val="20"/>
                <w:u w:color="000000"/>
                <w:lang w:val="x-none" w:eastAsia="en-US" w:bidi="ar-SA"/>
              </w:rPr>
              <w:t> 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u w:color="000000"/>
                <w:lang w:val="x-none" w:eastAsia="en-US" w:bidi="ar-SA"/>
              </w:rPr>
              <w:t>Adres</w:t>
            </w:r>
            <w:r>
              <w:rPr>
                <w:color w:val="000000"/>
                <w:szCs w:val="20"/>
                <w:u w:color="000000"/>
                <w:lang w:val="x-none" w:eastAsia="en-US" w:bidi="ar-SA"/>
              </w:rPr>
              <w:t> </w:t>
            </w:r>
          </w:p>
        </w:tc>
        <w:tc>
          <w:tcPr>
            <w:tcW w:w="44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u w:color="000000"/>
                <w:lang w:val="x-none" w:eastAsia="en-US" w:bidi="ar-SA"/>
              </w:rPr>
              <w:t>Dane geodezyjne</w:t>
            </w:r>
            <w:r>
              <w:rPr>
                <w:color w:val="000000"/>
                <w:szCs w:val="20"/>
                <w:u w:color="000000"/>
                <w:lang w:val="x-none" w:eastAsia="en-US" w:bidi="ar-SA"/>
              </w:rPr>
              <w:t> </w:t>
            </w:r>
          </w:p>
        </w:tc>
        <w:tc>
          <w:tcPr>
            <w:tcW w:w="37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u w:color="000000"/>
                <w:lang w:val="x-none" w:eastAsia="en-US" w:bidi="ar-SA"/>
              </w:rPr>
              <w:t>Opis i przeznaczenie</w:t>
            </w:r>
            <w:r>
              <w:rPr>
                <w:color w:val="000000"/>
                <w:szCs w:val="20"/>
                <w:u w:color="000000"/>
                <w:lang w:val="x-none" w:eastAsia="en-US" w:bidi="ar-SA"/>
              </w:rPr>
              <w:t> </w:t>
              <w:br/>
            </w:r>
            <w:r>
              <w:rPr>
                <w:b/>
                <w:color w:val="000000"/>
                <w:szCs w:val="20"/>
                <w:u w:color="000000"/>
                <w:lang w:val="x-none" w:eastAsia="en-US" w:bidi="ar-SA"/>
              </w:rPr>
              <w:t>nieruchomości</w:t>
            </w:r>
            <w:r>
              <w:rPr>
                <w:color w:val="000000"/>
                <w:szCs w:val="20"/>
                <w:u w:color="000000"/>
                <w:lang w:val="x-none" w:eastAsia="en-US" w:bidi="ar-SA"/>
              </w:rPr>
              <w:t> 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u w:color="000000"/>
                <w:lang w:val="x-none" w:eastAsia="en-US" w:bidi="ar-SA"/>
              </w:rPr>
              <w:t>Forma</w:t>
            </w:r>
            <w:r>
              <w:rPr>
                <w:color w:val="000000"/>
                <w:szCs w:val="20"/>
                <w:u w:color="000000"/>
                <w:lang w:val="x-none" w:eastAsia="en-US" w:bidi="ar-SA"/>
              </w:rPr>
              <w:t> </w:t>
              <w:br/>
            </w:r>
            <w:r>
              <w:rPr>
                <w:b/>
                <w:color w:val="000000"/>
                <w:szCs w:val="20"/>
                <w:u w:color="000000"/>
                <w:lang w:val="x-none" w:eastAsia="en-US" w:bidi="ar-SA"/>
              </w:rPr>
              <w:t>zbycia</w:t>
            </w:r>
            <w:r>
              <w:rPr>
                <w:color w:val="000000"/>
                <w:szCs w:val="20"/>
                <w:u w:color="000000"/>
                <w:lang w:val="x-none" w:eastAsia="en-US" w:bidi="ar-SA"/>
              </w:rPr>
              <w:t> </w:t>
            </w:r>
          </w:p>
        </w:tc>
        <w:tc>
          <w:tcPr>
            <w:tcW w:w="24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u w:color="000000"/>
                <w:lang w:val="x-none" w:eastAsia="en-US" w:bidi="ar-SA"/>
              </w:rPr>
              <w:t>Cena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u w:color="000000"/>
                <w:lang w:val="x-none" w:eastAsia="en-US" w:bidi="ar-SA"/>
              </w:rPr>
              <w:t>nieruchomości*</w:t>
            </w:r>
            <w:r>
              <w:rPr>
                <w:color w:val="000000"/>
                <w:szCs w:val="20"/>
                <w:u w:color="000000"/>
                <w:lang w:val="x-none" w:eastAsia="en-US" w:bidi="ar-SA"/>
              </w:rPr>
              <w:t> </w:t>
            </w:r>
          </w:p>
        </w:tc>
      </w:tr>
      <w:tr>
        <w:tblPrEx>
          <w:tblW w:w="5000" w:type="pct"/>
          <w:tblBorders>
            <w:insideH w:val="nil"/>
            <w:insideV w:val="nil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u w:color="000000"/>
                <w:lang w:val="x-none" w:eastAsia="en-US" w:bidi="ar-SA"/>
              </w:rPr>
              <w:t>KW</w:t>
            </w:r>
            <w:r>
              <w:rPr>
                <w:color w:val="000000"/>
                <w:szCs w:val="20"/>
                <w:u w:color="000000"/>
                <w:lang w:val="x-none" w:eastAsia="en-US" w:bidi="ar-SA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u w:color="000000"/>
                <w:lang w:val="x-none" w:eastAsia="en-US" w:bidi="ar-SA"/>
              </w:rPr>
              <w:t>Nr dz.</w:t>
            </w:r>
            <w:r>
              <w:rPr>
                <w:color w:val="000000"/>
                <w:szCs w:val="20"/>
                <w:u w:color="000000"/>
                <w:lang w:val="x-none" w:eastAsia="en-US" w:bidi="ar-SA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u w:color="000000"/>
                <w:lang w:val="x-none" w:eastAsia="en-US" w:bidi="ar-SA"/>
              </w:rPr>
              <w:t>Pow.</w:t>
            </w:r>
            <w:r>
              <w:rPr>
                <w:color w:val="000000"/>
                <w:szCs w:val="20"/>
                <w:u w:color="000000"/>
                <w:lang w:val="x-none" w:eastAsia="en-US" w:bidi="ar-SA"/>
              </w:rPr>
              <w:t> </w:t>
              <w:br/>
            </w:r>
            <w:r>
              <w:rPr>
                <w:b/>
                <w:color w:val="000000"/>
                <w:szCs w:val="20"/>
                <w:u w:color="000000"/>
                <w:lang w:val="x-none" w:eastAsia="en-US" w:bidi="ar-SA"/>
              </w:rPr>
              <w:t>w ha</w:t>
            </w:r>
            <w:r>
              <w:rPr>
                <w:color w:val="000000"/>
                <w:szCs w:val="20"/>
                <w:u w:color="000000"/>
                <w:lang w:val="x-none" w:eastAsia="en-US" w:bidi="ar-SA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u w:color="000000"/>
                <w:lang w:val="x-none" w:eastAsia="en-US" w:bidi="ar-SA"/>
              </w:rPr>
              <w:t>Obręb</w:t>
            </w:r>
            <w:r>
              <w:rPr>
                <w:color w:val="000000"/>
                <w:szCs w:val="20"/>
                <w:u w:color="000000"/>
                <w:lang w:val="x-none" w:eastAsia="en-US" w:bidi="ar-SA"/>
              </w:rPr>
              <w:t> </w:t>
            </w:r>
          </w:p>
        </w:tc>
        <w:tc>
          <w:tcPr>
            <w:tcW w:w="3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</w:p>
        </w:tc>
        <w:tc>
          <w:tcPr>
            <w:tcW w:w="249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</w:p>
        </w:tc>
      </w:tr>
      <w:tr>
        <w:tblPrEx>
          <w:tblW w:w="5000" w:type="pct"/>
          <w:tblBorders>
            <w:insideH w:val="nil"/>
            <w:insideV w:val="nil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u w:color="000000"/>
                <w:lang w:val="x-none" w:eastAsia="en-US" w:bidi="ar-SA"/>
              </w:rPr>
              <w:t>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u w:color="000000"/>
                <w:lang w:val="x-none" w:eastAsia="en-US" w:bidi="ar-SA"/>
              </w:rPr>
              <w:t>2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u w:color="000000"/>
                <w:lang w:val="x-none" w:eastAsia="en-US" w:bidi="ar-SA"/>
              </w:rPr>
              <w:t>3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u w:color="000000"/>
                <w:lang w:val="x-none" w:eastAsia="en-US" w:bidi="ar-SA"/>
              </w:rPr>
              <w:t>4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u w:color="000000"/>
                <w:lang w:val="x-none" w:eastAsia="en-US" w:bidi="ar-SA"/>
              </w:rPr>
              <w:t>5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u w:color="000000"/>
                <w:lang w:val="x-none" w:eastAsia="en-US" w:bidi="ar-SA"/>
              </w:rPr>
              <w:t>6</w:t>
            </w:r>
          </w:p>
        </w:tc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u w:color="000000"/>
                <w:lang w:val="x-none" w:eastAsia="en-US" w:bidi="ar-SA"/>
              </w:rPr>
              <w:t>7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u w:color="000000"/>
                <w:lang w:val="x-none" w:eastAsia="en-US" w:bidi="ar-SA"/>
              </w:rPr>
              <w:t>8</w:t>
            </w:r>
          </w:p>
        </w:tc>
        <w:tc>
          <w:tcPr>
            <w:tcW w:w="2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u w:color="000000"/>
                <w:lang w:val="x-none" w:eastAsia="en-US" w:bidi="ar-SA"/>
              </w:rPr>
              <w:t>9</w:t>
            </w:r>
          </w:p>
        </w:tc>
      </w:tr>
      <w:tr>
        <w:tblPrEx>
          <w:tblW w:w="5000" w:type="pct"/>
          <w:tblBorders>
            <w:insideH w:val="nil"/>
            <w:insideV w:val="nil"/>
          </w:tblBorders>
          <w:tblLayout w:type="fixed"/>
          <w:tblCellMar>
            <w:left w:w="108" w:type="dxa"/>
            <w:right w:w="108" w:type="dxa"/>
          </w:tblCellMar>
        </w:tblPrEx>
        <w:trPr>
          <w:trHeight w:val="61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  <w:r>
              <w:rPr>
                <w:color w:val="000000"/>
                <w:szCs w:val="20"/>
                <w:u w:color="000000"/>
                <w:lang w:val="x-none" w:eastAsia="en-US" w:bidi="ar-SA"/>
              </w:rPr>
              <w:t>1.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</w:rPr>
            </w:pPr>
            <w:r>
              <w:rPr>
                <w:color w:val="000000"/>
                <w:szCs w:val="20"/>
                <w:u w:color="000000"/>
                <w:lang w:val="x-none" w:eastAsia="en-US" w:bidi="ar-SA"/>
              </w:rPr>
              <w:t xml:space="preserve">ul. </w:t>
            </w:r>
            <w:r>
              <w:rPr>
                <w:color w:val="000000"/>
                <w:szCs w:val="20"/>
                <w:u w:color="000000"/>
              </w:rPr>
              <w:t>Malborska 47/16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</w:rPr>
            </w:pPr>
            <w:r>
              <w:rPr>
                <w:color w:val="000000"/>
                <w:szCs w:val="20"/>
                <w:u w:color="000000"/>
              </w:rPr>
              <w:t>33114/5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</w:rPr>
            </w:pPr>
            <w:r>
              <w:rPr>
                <w:color w:val="000000"/>
                <w:szCs w:val="20"/>
                <w:u w:color="000000"/>
              </w:rPr>
              <w:t>91/1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</w:rPr>
            </w:pPr>
            <w:r>
              <w:rPr>
                <w:color w:val="000000"/>
                <w:szCs w:val="20"/>
                <w:u w:color="000000"/>
              </w:rPr>
              <w:t>0,0448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</w:rPr>
            </w:pPr>
            <w:r>
              <w:rPr>
                <w:color w:val="000000"/>
                <w:szCs w:val="20"/>
                <w:u w:color="000000"/>
              </w:rPr>
              <w:t>21</w:t>
            </w:r>
          </w:p>
        </w:tc>
        <w:tc>
          <w:tcPr>
            <w:tcW w:w="37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20"/>
                <w:szCs w:val="20"/>
                <w:u w:color="000000"/>
                <w:lang w:val="x-none" w:eastAsia="en-US" w:bidi="ar-SA"/>
              </w:rPr>
            </w:pP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Lokal mieszkalny nr 16 o pow. 106,0 m</w:t>
            </w:r>
            <w:r>
              <w:rPr>
                <w:sz w:val="20"/>
                <w:szCs w:val="20"/>
                <w:vertAlign w:val="superscript"/>
              </w:rPr>
              <w:t xml:space="preserve">2 </w:t>
            </w:r>
            <w:r>
              <w:rPr>
                <w:sz w:val="20"/>
                <w:szCs w:val="20"/>
              </w:rPr>
              <w:t>,wraz z przynależnymi piwnicami o łącznej   pow. 9,1 m</w:t>
            </w:r>
            <w:r>
              <w:rPr>
                <w:sz w:val="20"/>
                <w:szCs w:val="20"/>
                <w:vertAlign w:val="superscript"/>
              </w:rPr>
              <w:t>2</w:t>
            </w:r>
            <w:r>
              <w:rPr>
                <w:sz w:val="20"/>
                <w:szCs w:val="20"/>
              </w:rPr>
              <w:t xml:space="preserve"> .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20"/>
                <w:szCs w:val="20"/>
                <w:u w:color="000000"/>
              </w:rPr>
            </w:pPr>
            <w:r>
              <w:rPr>
                <w:sz w:val="20"/>
                <w:szCs w:val="20"/>
              </w:rPr>
              <w:t>Z lokalem związany jest udział 0,081 w częściach wspólnych i niepodzielnych oraz w prawie własności gruntu</w:t>
            </w:r>
            <w:r>
              <w:rPr>
                <w:color w:val="000000"/>
                <w:sz w:val="20"/>
                <w:szCs w:val="20"/>
                <w:u w:color="000000"/>
              </w:rPr>
              <w:t>.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  <w:r>
              <w:rPr>
                <w:color w:val="000000"/>
                <w:szCs w:val="20"/>
                <w:u w:color="000000"/>
                <w:lang w:val="x-none" w:eastAsia="en-US" w:bidi="ar-SA"/>
              </w:rPr>
              <w:t>własność</w:t>
            </w:r>
          </w:p>
        </w:tc>
        <w:tc>
          <w:tcPr>
            <w:tcW w:w="249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u w:color="000000"/>
              </w:rPr>
              <w:t>360.000</w:t>
            </w:r>
            <w:r>
              <w:rPr>
                <w:b/>
                <w:color w:val="000000"/>
                <w:szCs w:val="20"/>
                <w:u w:color="000000"/>
                <w:lang w:val="x-none" w:eastAsia="en-US" w:bidi="ar-SA"/>
              </w:rPr>
              <w:t> zł</w:t>
            </w:r>
          </w:p>
        </w:tc>
      </w:tr>
      <w:tr>
        <w:tblPrEx>
          <w:tblW w:w="5000" w:type="pct"/>
          <w:tblBorders>
            <w:insideH w:val="nil"/>
            <w:insideV w:val="nil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4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</w:p>
        </w:tc>
        <w:tc>
          <w:tcPr>
            <w:tcW w:w="3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</w:p>
        </w:tc>
        <w:tc>
          <w:tcPr>
            <w:tcW w:w="249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16"/>
                <w:szCs w:val="20"/>
                <w:u w:color="000000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u w:color="000000"/>
              </w:rPr>
              <w:t>w tym:</w:t>
            </w:r>
          </w:p>
        </w:tc>
      </w:tr>
      <w:tr>
        <w:tblPrEx>
          <w:tblBorders>
            <w:insideH w:val="nil"/>
            <w:insideV w:val="nil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4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</w:p>
        </w:tc>
        <w:tc>
          <w:tcPr>
            <w:tcW w:w="3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nil"/>
              <w:right w:val="nil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16"/>
                <w:szCs w:val="20"/>
                <w:u w:color="000000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u w:color="000000"/>
              </w:rPr>
              <w:t>lokal: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16"/>
                <w:szCs w:val="20"/>
                <w:u w:color="000000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u w:color="000000"/>
              </w:rPr>
              <w:t>349.963 zł</w:t>
            </w:r>
          </w:p>
        </w:tc>
      </w:tr>
      <w:tr>
        <w:tblPrEx>
          <w:tblBorders>
            <w:insideH w:val="nil"/>
            <w:insideV w:val="nil"/>
          </w:tblBorders>
          <w:tblLayout w:type="fixed"/>
          <w:tblCellMar>
            <w:left w:w="108" w:type="dxa"/>
            <w:right w:w="108" w:type="dxa"/>
          </w:tblCellMar>
        </w:tblPrEx>
        <w:trPr>
          <w:trHeight w:val="72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</w:p>
        </w:tc>
        <w:tc>
          <w:tcPr>
            <w:tcW w:w="3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nil"/>
              <w:right w:val="nil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16"/>
                <w:szCs w:val="20"/>
                <w:u w:color="000000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u w:color="000000"/>
              </w:rPr>
              <w:t>udział w gruncie: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16"/>
                <w:szCs w:val="20"/>
                <w:u w:color="000000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u w:color="000000"/>
              </w:rPr>
              <w:t>10.037 zł</w:t>
            </w:r>
          </w:p>
        </w:tc>
      </w:tr>
      <w:tr>
        <w:tblPrEx>
          <w:tblBorders>
            <w:insideH w:val="nil"/>
            <w:insideV w:val="nil"/>
          </w:tblBorders>
          <w:tblLayout w:type="fixed"/>
          <w:tblCellMar>
            <w:left w:w="108" w:type="dxa"/>
            <w:right w:w="108" w:type="dxa"/>
          </w:tblCellMar>
        </w:tblPrEx>
        <w:trPr>
          <w:trHeight w:val="72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</w:p>
        </w:tc>
        <w:tc>
          <w:tcPr>
            <w:tcW w:w="3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</w:p>
        </w:tc>
        <w:tc>
          <w:tcPr>
            <w:tcW w:w="2490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u w:color="000000"/>
                <w:lang w:val="x-none" w:eastAsia="en-US" w:bidi="ar-SA"/>
              </w:rPr>
              <w:t xml:space="preserve">plus podatek VAT zgodnie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16"/>
                <w:szCs w:val="20"/>
                <w:u w:color="000000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u w:color="000000"/>
                <w:lang w:val="x-none" w:eastAsia="en-US" w:bidi="ar-SA"/>
              </w:rPr>
              <w:t>z obowiązującymi przepisami</w:t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ab/>
        <w:br/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367"/>
        <w:gridCol w:w="42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left"/>
              <w:rPr>
                <w:color w:val="000000"/>
                <w:szCs w:val="20"/>
                <w:u w:color="000000"/>
                <w:lang w:val="x-none" w:eastAsia="en-US" w:bidi="ar-SA"/>
              </w:rPr>
            </w:pPr>
            <w:r>
              <w:rPr>
                <w:sz w:val="18"/>
                <w:szCs w:val="20"/>
                <w:lang w:val="x-none" w:eastAsia="en-US" w:bidi="ar-SA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color w:val="000000"/>
                <w:szCs w:val="20"/>
                <w:u w:color="000000"/>
                <w:lang w:val="x-none" w:eastAsia="en-US" w:bidi="ar-SA"/>
              </w:rPr>
            </w:pPr>
            <w:r>
              <w:rPr>
                <w:color w:val="000000"/>
                <w:sz w:val="18"/>
                <w:szCs w:val="20"/>
                <w:u w:color="000000"/>
                <w:lang w:val="x-none" w:eastAsia="en-US" w:bidi="ar-SA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420" w:type="dxa"/>
          <w:trHeight w:val="465"/>
        </w:trPr>
        <w:tc>
          <w:tcPr>
            <w:tcW w:w="1435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left"/>
              <w:rPr>
                <w:color w:val="000000"/>
                <w:szCs w:val="20"/>
                <w:u w:color="000000"/>
                <w:lang w:val="x-none" w:eastAsia="en-US" w:bidi="ar-SA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420" w:type="dxa"/>
          <w:trHeight w:val="465"/>
        </w:trPr>
        <w:tc>
          <w:tcPr>
            <w:tcW w:w="1435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left"/>
              <w:rPr>
                <w:color w:val="000000"/>
                <w:szCs w:val="20"/>
                <w:u w:color="000000"/>
                <w:lang w:val="x-none" w:eastAsia="en-US" w:bidi="ar-SA"/>
              </w:rPr>
            </w:pPr>
            <w:r>
              <w:rPr>
                <w:i/>
                <w:color w:val="000000"/>
                <w:sz w:val="18"/>
                <w:szCs w:val="20"/>
                <w:u w:color="000000"/>
                <w:lang w:val="x-none" w:eastAsia="en-US" w:bidi="ar-SA"/>
              </w:rPr>
              <w:t>Sporządziła: Katarzyna Zaborowska</w:t>
            </w:r>
            <w:r>
              <w:rPr>
                <w:i/>
                <w:color w:val="000000"/>
                <w:sz w:val="18"/>
                <w:szCs w:val="20"/>
                <w:u w:color="000000"/>
              </w:rPr>
              <w:t>,</w:t>
            </w:r>
            <w:r>
              <w:rPr>
                <w:i/>
                <w:color w:val="000000"/>
                <w:sz w:val="18"/>
                <w:szCs w:val="20"/>
                <w:u w:color="000000"/>
                <w:lang w:val="x-none" w:eastAsia="en-US" w:bidi="ar-SA"/>
              </w:rPr>
              <w:t xml:space="preserve"> Specjalista</w:t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  <w:rPr>
          <w:szCs w:val="20"/>
          <w:lang w:val="x-none" w:eastAsia="en-US" w:bidi="ar-SA"/>
        </w:rPr>
      </w:pPr>
    </w:p>
    <w:sectPr>
      <w:endnotePr>
        <w:numFmt w:val="decimal"/>
      </w:endnotePr>
      <w:type w:val="nextPage"/>
      <w:pgSz w:w="16838" w:h="11906" w:orient="landscape" w:code="0"/>
      <w:pgMar w:top="1417" w:right="850" w:bottom="1134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517/2021 z dnia 8 grudnia 2021 r.</dc:title>
  <dc:subject>w sprawie sporządzenia i^ogłoszenia wykazu nieruchomości przeznaczonych do zbycia</dc:subject>
  <dc:creator>kazab</dc:creator>
  <cp:lastModifiedBy>kazab</cp:lastModifiedBy>
  <cp:revision>1</cp:revision>
  <dcterms:created xsi:type="dcterms:W3CDTF">2021-12-09T14:12:24Z</dcterms:created>
  <dcterms:modified xsi:type="dcterms:W3CDTF">2021-12-09T14:12:24Z</dcterms:modified>
  <cp:category>Akt prawny</cp:category>
</cp:coreProperties>
</file>