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063D0" w14:textId="478EA5B0" w:rsidR="00A77B3E" w:rsidRDefault="004D5CB4">
      <w:pPr>
        <w:jc w:val="center"/>
        <w:rPr>
          <w:b/>
          <w:caps/>
        </w:rPr>
      </w:pPr>
      <w:r>
        <w:rPr>
          <w:b/>
          <w:caps/>
        </w:rPr>
        <w:t>Zarządzenie Nr 387/2021</w:t>
      </w:r>
      <w:r>
        <w:rPr>
          <w:b/>
          <w:caps/>
        </w:rPr>
        <w:br/>
        <w:t>Prezydenta Miasta Elbląg</w:t>
      </w:r>
    </w:p>
    <w:p w14:paraId="6A82046B" w14:textId="2B353CFD" w:rsidR="00A77B3E" w:rsidRDefault="004D5CB4">
      <w:pPr>
        <w:spacing w:before="280" w:after="280"/>
        <w:jc w:val="center"/>
        <w:rPr>
          <w:b/>
          <w:caps/>
        </w:rPr>
      </w:pPr>
      <w:r>
        <w:t xml:space="preserve">z dnia 9 września </w:t>
      </w:r>
      <w:r>
        <w:t>2021 r.</w:t>
      </w:r>
    </w:p>
    <w:p w14:paraId="18F07642" w14:textId="77777777" w:rsidR="00A77B3E" w:rsidRDefault="004D5CB4">
      <w:pPr>
        <w:keepNext/>
        <w:jc w:val="center"/>
      </w:pPr>
      <w:r>
        <w:rPr>
          <w:b/>
        </w:rPr>
        <w:t>w sprawie ustanowienia służebności gruntowej na nieruchomości Gminy Miasto Elbląg, położonej przy ul. Jarosława Iwaszkiewicza w Elblągu.</w:t>
      </w:r>
    </w:p>
    <w:p w14:paraId="5BF57F57" w14:textId="77777777" w:rsidR="00A77B3E" w:rsidRDefault="004D5CB4">
      <w:pPr>
        <w:keepLines/>
        <w:spacing w:before="120" w:after="120"/>
      </w:pPr>
      <w:r>
        <w:t xml:space="preserve">Na </w:t>
      </w:r>
      <w:r>
        <w:t>podstawie art. 30 ust. 2 pkt 3 ustawy z dnia 8 marca 1990 r. o samorządzie gminnym (t.j. Dz. U. z 2021 r. poz. 1372) oraz § 15 Zasad nabywania, zbywania i obciążania nieruchomości Gminy Miasto Elbląg oraz ich wydzierżawiania lub wynajmowania na czas oznacz</w:t>
      </w:r>
      <w:r>
        <w:t>ony dłuższy niż trzy lata lub czas nieoznaczony, stanowiących załącznik do uchwały Nr XIV/265/2008 Rady Miejskiej w Elblągu z dnia 24 kwietnia 2008 r. w sprawie określenia zasad nabywania, zbywania i obciążania nieruchomości Gminy Miasto Elbląg oraz ich wy</w:t>
      </w:r>
      <w:r>
        <w:t>dzierżawiania lub wynajmowania na czas oznaczony dłuższy niż trzy lata lub na czas nieoznaczony (Dz. Urz. Woj. Warmińsko – Mazurskiego z 2016 r. poz. 3794),</w:t>
      </w:r>
    </w:p>
    <w:p w14:paraId="742323BD" w14:textId="77777777" w:rsidR="00A77B3E" w:rsidRDefault="004D5CB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031F0286" w14:textId="77777777" w:rsidR="00A77B3E" w:rsidRDefault="004D5C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Postanawia się ustanowić, na nieruchomości gruntowej, stanowiąc</w:t>
      </w:r>
      <w:r>
        <w:t>ej własność Gminy Miasto Elbląg, położonej w Elblągu przy ul. Jarosława Iwaszkiewicza, oznaczonej w ewidencji gruntów i budynków w obrębie 26 jako działka nr 50/1 o powierzchni 0,0643ha, księga wieczysta nr EL1E/00056212/9, nieodpłatną służebność gruntową,</w:t>
      </w:r>
      <w:r>
        <w:t xml:space="preserve"> polegającą na prawie przejścia i przejazdu, na rzecz każdoczesnego właściciela działek nr: 52/4, 52/5, 52/6, 52/7 w obrębie 26, dla których Sąd Rejonowy w Elblągu prowadzi księgę wieczystą nr EL1E/00087846/8.</w:t>
      </w:r>
    </w:p>
    <w:p w14:paraId="57B081B4" w14:textId="77777777" w:rsidR="00A77B3E" w:rsidRDefault="004D5CB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Postanawia się ustanowić, na nieruchomości </w:t>
      </w:r>
      <w:r>
        <w:rPr>
          <w:color w:val="000000"/>
          <w:u w:color="000000"/>
        </w:rPr>
        <w:t xml:space="preserve">gruntowej, stanowiącej własność Gminy Miasto Elbląg, położonej w Elblągu przy ul. Jarosława Iwaszkiewicza, oznaczonej w ewidencji gruntów i budynków w obrębie 26 jako działka nr 55/1 o powierzchni 0,1601ha, księga wieczysta nr EL1E/00056212/9, nieodpłatną </w:t>
      </w:r>
      <w:r>
        <w:rPr>
          <w:color w:val="000000"/>
          <w:u w:color="000000"/>
        </w:rPr>
        <w:t xml:space="preserve">służebność gruntową, polegającą na prawie przejścia i przejazdu, na rzecz każdoczesnego właściciela działek nr: 52/4, 52/5, 52/6, 52/7, 52/8, 52/9, 52/10, 52/11, 52/12, 52/13, 52/14, 52/15, 52/16, 52/17, 52/18, 52/20 w obrębie 26, dla których Sąd Rejonowy </w:t>
      </w:r>
      <w:r>
        <w:rPr>
          <w:color w:val="000000"/>
          <w:u w:color="000000"/>
        </w:rPr>
        <w:t>w Elblągu prowadzi księgę wieczystą nr EL1E/00087846/8.</w:t>
      </w:r>
    </w:p>
    <w:p w14:paraId="296CCAFC" w14:textId="77777777" w:rsidR="00A77B3E" w:rsidRDefault="004D5CB4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Nieruchomość, obciążaną służebnością gruntową, zaznaczono kolorem czerwonym, na mapie stanowiącej załącznik do niniejszego zarządzenia.</w:t>
      </w:r>
    </w:p>
    <w:p w14:paraId="6683A3BE" w14:textId="77777777" w:rsidR="00A77B3E" w:rsidRDefault="004D5C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</w:t>
      </w:r>
      <w:r>
        <w:rPr>
          <w:color w:val="000000"/>
          <w:u w:color="000000"/>
        </w:rPr>
        <w:t>nia.</w:t>
      </w:r>
    </w:p>
    <w:p w14:paraId="4DB3E1F0" w14:textId="3B347545" w:rsidR="00202202" w:rsidRDefault="00202202">
      <w:pPr>
        <w:keepLines/>
        <w:spacing w:before="120" w:after="120"/>
        <w:rPr>
          <w:color w:val="000000"/>
          <w:u w:color="000000"/>
        </w:rPr>
        <w:sectPr w:rsidR="0020220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08EF9D77" w14:textId="77777777" w:rsidR="00CA79D5" w:rsidRDefault="00CA79D5">
      <w:pPr>
        <w:rPr>
          <w:szCs w:val="20"/>
          <w:lang w:val="x-none" w:eastAsia="en-US" w:bidi="ar-SA"/>
        </w:rPr>
      </w:pPr>
    </w:p>
    <w:p w14:paraId="6B789992" w14:textId="77777777" w:rsidR="00CA79D5" w:rsidRDefault="004D5CB4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0CA870DA" w14:textId="77777777" w:rsidR="00CA79D5" w:rsidRDefault="004D5CB4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Miasto Elbląg jest właścicielem nieruchomości gruntowej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położonej przy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 xml:space="preserve">ul. </w:t>
      </w:r>
      <w:r>
        <w:rPr>
          <w:szCs w:val="20"/>
        </w:rPr>
        <w:t>Jarosława Iwaszkiewicza</w:t>
      </w:r>
      <w:r>
        <w:rPr>
          <w:szCs w:val="20"/>
          <w:lang w:val="x-none" w:eastAsia="en-US" w:bidi="ar-SA"/>
        </w:rPr>
        <w:t xml:space="preserve"> w Elblągu, oznaczonej w ewidencji gruntów i budynków w obrębie </w:t>
      </w:r>
      <w:r>
        <w:rPr>
          <w:szCs w:val="20"/>
        </w:rPr>
        <w:t>26</w:t>
      </w:r>
      <w:r>
        <w:rPr>
          <w:szCs w:val="20"/>
          <w:lang w:val="x-none" w:eastAsia="en-US" w:bidi="ar-SA"/>
        </w:rPr>
        <w:t> 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jako działk</w:t>
      </w:r>
      <w:r>
        <w:rPr>
          <w:szCs w:val="20"/>
        </w:rPr>
        <w:t xml:space="preserve">i </w:t>
      </w:r>
      <w:r>
        <w:rPr>
          <w:szCs w:val="20"/>
          <w:lang w:val="x-none" w:eastAsia="en-US" w:bidi="ar-SA"/>
        </w:rPr>
        <w:t>nr</w:t>
      </w:r>
      <w:r>
        <w:rPr>
          <w:szCs w:val="20"/>
        </w:rPr>
        <w:t>: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>50/1</w:t>
      </w:r>
      <w:r>
        <w:rPr>
          <w:szCs w:val="20"/>
          <w:lang w:val="x-none" w:eastAsia="en-US" w:bidi="ar-SA"/>
        </w:rPr>
        <w:t xml:space="preserve"> o powierzchni 0,</w:t>
      </w:r>
      <w:r>
        <w:rPr>
          <w:szCs w:val="20"/>
        </w:rPr>
        <w:t>0643</w:t>
      </w:r>
      <w:r>
        <w:rPr>
          <w:szCs w:val="20"/>
          <w:lang w:val="x-none" w:eastAsia="en-US" w:bidi="ar-SA"/>
        </w:rPr>
        <w:t>ha</w:t>
      </w:r>
      <w:r>
        <w:rPr>
          <w:szCs w:val="20"/>
        </w:rPr>
        <w:t xml:space="preserve"> i 55/1 o powierzchni 0,1601ha</w:t>
      </w:r>
      <w:r>
        <w:rPr>
          <w:szCs w:val="20"/>
          <w:lang w:val="x-none" w:eastAsia="en-US" w:bidi="ar-SA"/>
        </w:rPr>
        <w:t>, dla której Sąd Rejonowy w Elblągu prowadzi księgę wieczystą nr EL1E/000</w:t>
      </w:r>
      <w:r>
        <w:rPr>
          <w:szCs w:val="20"/>
        </w:rPr>
        <w:t>56212/9</w:t>
      </w:r>
      <w:r>
        <w:rPr>
          <w:szCs w:val="20"/>
          <w:lang w:val="x-none" w:eastAsia="en-US" w:bidi="ar-SA"/>
        </w:rPr>
        <w:t>.</w:t>
      </w:r>
    </w:p>
    <w:p w14:paraId="34FE0395" w14:textId="77777777" w:rsidR="00CA79D5" w:rsidRDefault="004D5CB4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</w:rPr>
        <w:t>W decyzji nr DGNiG-RGiK.6831.36.2021.BC z dnia 20 lipca 2021r., zatwierdzającej projekt podziału, zapisano, że dostęp nowo projektowanych działe</w:t>
      </w:r>
      <w:r>
        <w:rPr>
          <w:szCs w:val="20"/>
        </w:rPr>
        <w:t>k nr: od 52/4 do 52/20 do drogi publicznej, zostanie zapewniony poprzez służebność gruntową, polegającą na prawie przejścia i przejazdu przez działkę nr 55/1 w obrębie 26 oraz dodatkowo dostęp nowo projektowanych działek nr: od 52/4 do 52/7 do drogi public</w:t>
      </w:r>
      <w:r>
        <w:rPr>
          <w:szCs w:val="20"/>
        </w:rPr>
        <w:t>znej, zostanie zapewniony poprzez służebność gruntową, polegającą na prawie przejścia i przejazdu przez działkę nr 50/1 w obrębie 26</w:t>
      </w:r>
      <w:r>
        <w:rPr>
          <w:szCs w:val="20"/>
          <w:lang w:val="x-none" w:eastAsia="en-US" w:bidi="ar-SA"/>
        </w:rPr>
        <w:t>.</w:t>
      </w:r>
    </w:p>
    <w:p w14:paraId="0FDC414D" w14:textId="77777777" w:rsidR="00CA79D5" w:rsidRDefault="004D5CB4">
      <w:pPr>
        <w:spacing w:before="120" w:after="120"/>
        <w:rPr>
          <w:szCs w:val="20"/>
        </w:rPr>
      </w:pPr>
      <w:r>
        <w:rPr>
          <w:szCs w:val="20"/>
          <w:lang w:val="x-none" w:eastAsia="en-US" w:bidi="ar-SA"/>
        </w:rPr>
        <w:t xml:space="preserve">W związku </w:t>
      </w:r>
      <w:r>
        <w:rPr>
          <w:szCs w:val="20"/>
        </w:rPr>
        <w:t>z wnioskiem właściciela nowo powstałych działek,</w:t>
      </w:r>
      <w:r>
        <w:rPr>
          <w:szCs w:val="20"/>
          <w:lang w:val="x-none" w:eastAsia="en-US" w:bidi="ar-SA"/>
        </w:rPr>
        <w:t xml:space="preserve"> postanawia się obciążyć działk</w:t>
      </w:r>
      <w:r>
        <w:rPr>
          <w:szCs w:val="20"/>
        </w:rPr>
        <w:t>i</w:t>
      </w:r>
      <w:r>
        <w:rPr>
          <w:szCs w:val="20"/>
          <w:lang w:val="x-none" w:eastAsia="en-US" w:bidi="ar-SA"/>
        </w:rPr>
        <w:t xml:space="preserve"> nr </w:t>
      </w:r>
      <w:r>
        <w:rPr>
          <w:szCs w:val="20"/>
        </w:rPr>
        <w:t>55/1 i 50/1 w obrębie 26</w:t>
      </w:r>
      <w:r>
        <w:rPr>
          <w:szCs w:val="20"/>
          <w:lang w:val="x-none" w:eastAsia="en-US" w:bidi="ar-SA"/>
        </w:rPr>
        <w:t xml:space="preserve"> słu</w:t>
      </w:r>
      <w:r>
        <w:rPr>
          <w:szCs w:val="20"/>
          <w:lang w:val="x-none" w:eastAsia="en-US" w:bidi="ar-SA"/>
        </w:rPr>
        <w:t>żebnością gruntową</w:t>
      </w:r>
      <w:r>
        <w:rPr>
          <w:szCs w:val="20"/>
        </w:rPr>
        <w:t>.</w:t>
      </w:r>
    </w:p>
    <w:p w14:paraId="0FC1D61B" w14:textId="77777777" w:rsidR="00CA79D5" w:rsidRDefault="004D5CB4">
      <w:pPr>
        <w:spacing w:before="120" w:after="120"/>
        <w:rPr>
          <w:szCs w:val="20"/>
        </w:rPr>
      </w:pPr>
      <w:r>
        <w:rPr>
          <w:szCs w:val="20"/>
        </w:rPr>
        <w:t xml:space="preserve">Służebność gruntowa, zostanie ustanowiona nieodpłatnie, z uwagi na planowane zbycie działek </w:t>
      </w:r>
      <w:r>
        <w:rPr>
          <w:szCs w:val="20"/>
        </w:rPr>
        <w:br/>
        <w:t xml:space="preserve">nr 55/1 i 50/1 w obrębie 26, na rzecz właściciela działek nr: od 52/4 do 52/18 i 50/20, zgodnie </w:t>
      </w:r>
      <w:r>
        <w:rPr>
          <w:szCs w:val="20"/>
        </w:rPr>
        <w:br/>
        <w:t>z zawartym porozumieniem.</w:t>
      </w:r>
    </w:p>
    <w:p w14:paraId="1A3F86F4" w14:textId="77777777" w:rsidR="00CA79D5" w:rsidRDefault="004D5CB4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Nieruchomość, obciąż</w:t>
      </w:r>
      <w:r>
        <w:rPr>
          <w:szCs w:val="20"/>
          <w:lang w:val="x-none" w:eastAsia="en-US" w:bidi="ar-SA"/>
        </w:rPr>
        <w:t xml:space="preserve">aną służebnością </w:t>
      </w:r>
      <w:r>
        <w:rPr>
          <w:szCs w:val="20"/>
        </w:rPr>
        <w:t>gruntową</w:t>
      </w:r>
      <w:r>
        <w:rPr>
          <w:szCs w:val="20"/>
          <w:lang w:val="x-none" w:eastAsia="en-US" w:bidi="ar-SA"/>
        </w:rPr>
        <w:t>, zaznaczono kolorem czerwonym, na mapie stanowiącej załącznik do niniejszego zarządzenia.</w:t>
      </w:r>
    </w:p>
    <w:sectPr w:rsidR="00CA79D5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2202"/>
    <w:rsid w:val="004D5CB4"/>
    <w:rsid w:val="00A77B3E"/>
    <w:rsid w:val="00CA2A55"/>
    <w:rsid w:val="00CA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F2C16"/>
  <w15:docId w15:val="{EC7794E1-A452-4025-BA04-E3275396B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Elbląg, położonej przy ul. Jarosława Iwaszkiewicza w^Elblągu.</dc:subject>
  <dc:creator>jodan</dc:creator>
  <cp:lastModifiedBy>Joanna Danilewicz</cp:lastModifiedBy>
  <cp:revision>3</cp:revision>
  <dcterms:created xsi:type="dcterms:W3CDTF">2021-10-18T09:15:00Z</dcterms:created>
  <dcterms:modified xsi:type="dcterms:W3CDTF">2021-10-18T09:15:00Z</dcterms:modified>
  <cp:category>Akt prawny</cp:category>
</cp:coreProperties>
</file>