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C67BA">
      <w:pPr>
        <w:jc w:val="center"/>
        <w:rPr>
          <w:b/>
          <w:caps/>
        </w:rPr>
      </w:pPr>
      <w:r>
        <w:rPr>
          <w:b/>
          <w:caps/>
        </w:rPr>
        <w:t>Zarządzenie Nr 433/2021</w:t>
      </w:r>
      <w:r>
        <w:rPr>
          <w:b/>
          <w:caps/>
        </w:rPr>
        <w:br/>
        <w:t>Prezydenta Miasta Elbląg</w:t>
      </w:r>
    </w:p>
    <w:p w:rsidR="00A77B3E" w:rsidRDefault="00CC67BA">
      <w:pPr>
        <w:spacing w:before="280" w:after="280"/>
        <w:jc w:val="center"/>
        <w:rPr>
          <w:b/>
          <w:caps/>
        </w:rPr>
      </w:pPr>
      <w:r>
        <w:t>z dnia 7 października</w:t>
      </w:r>
      <w:r>
        <w:t> 2021 r.</w:t>
      </w:r>
    </w:p>
    <w:p w:rsidR="00A77B3E" w:rsidRDefault="00CC67BA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CC67BA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CC67BA">
      <w:pPr>
        <w:spacing w:before="120" w:after="120"/>
        <w:jc w:val="center"/>
      </w:pPr>
      <w:r>
        <w:t>zarządza się, co następuje: 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CC67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C67BA" w:rsidRDefault="00CC67BA">
      <w:pPr>
        <w:keepLines/>
        <w:spacing w:before="120" w:after="120"/>
        <w:rPr>
          <w:color w:val="000000"/>
          <w:u w:color="000000"/>
        </w:rPr>
        <w:sectPr w:rsidR="00CC67B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C67BA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433</w:t>
      </w:r>
      <w:r>
        <w:rPr>
          <w:color w:val="000000"/>
          <w:u w:color="000000"/>
        </w:rPr>
        <w:t>/2021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7 października </w:t>
      </w:r>
      <w:bookmarkStart w:id="0" w:name="_GoBack"/>
      <w:bookmarkEnd w:id="0"/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0203D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CC67BA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0203D5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03D5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0203D5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03D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t>Łomżyńska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592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0,0879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EL1E/00047127/0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173.900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0203D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t>1 Maja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48,9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254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0,0452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EL1E/00026980/4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175.100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0203D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t>Jana Matejki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59,1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313/1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0,0366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EL1E/00037380/8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201.500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60</w:t>
            </w:r>
          </w:p>
        </w:tc>
      </w:tr>
      <w:tr w:rsidR="000203D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33,0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40/10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0,0910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EL1E/00030320/1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115.300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0203D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t>Zagonowa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47,8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91/78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0,0195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EL1E/00047135/9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144.800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0203D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t>Zagonowa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7d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41,4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91/74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0,0318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EL1E/00036425/9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126.400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67BA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0203D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203D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cenę określoną na </w:t>
            </w:r>
            <w:r>
              <w:rPr>
                <w:sz w:val="16"/>
              </w:rPr>
              <w:t>podstawie art.67 ust.3 ustawy o gospodarce nieruchomościami </w:t>
            </w:r>
          </w:p>
        </w:tc>
      </w:tr>
      <w:tr w:rsidR="000203D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</w:t>
            </w:r>
            <w:r>
              <w:rPr>
                <w:sz w:val="16"/>
              </w:rPr>
              <w:t>h przepisów, jeżeli złożą wniosek o jej nabycie w terminie 6 tygodni, licząc od dnia wywieszenia wykazu. </w:t>
            </w:r>
          </w:p>
        </w:tc>
      </w:tr>
      <w:tr w:rsidR="000203D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203D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67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203D5"/>
    <w:rsid w:val="00A77B3E"/>
    <w:rsid w:val="00CA2A55"/>
    <w:rsid w:val="00CC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75B2FE-B603-4F6C-9576-4AD7E0EB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2021-10-11T09:59:00Z</dcterms:created>
  <dcterms:modified xsi:type="dcterms:W3CDTF">2021-10-11T08:07:00Z</dcterms:modified>
  <cp:category>Akt prawny</cp:category>
</cp:coreProperties>
</file>