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CE7B13">
      <w:pPr>
        <w:jc w:val="center"/>
        <w:rPr>
          <w:b/>
          <w:caps/>
        </w:rPr>
      </w:pPr>
      <w:r>
        <w:rPr>
          <w:b/>
          <w:caps/>
        </w:rPr>
        <w:t>Zarządzenie Nr 413/2021</w:t>
      </w:r>
      <w:r>
        <w:rPr>
          <w:b/>
          <w:caps/>
        </w:rPr>
        <w:br/>
        <w:t>Prezydenta Miasta Elbląg</w:t>
      </w:r>
    </w:p>
    <w:p w:rsidR="00A77B3E" w:rsidRDefault="00CE7B13">
      <w:pPr>
        <w:spacing w:before="280" w:after="280"/>
        <w:jc w:val="center"/>
        <w:rPr>
          <w:b/>
          <w:caps/>
        </w:rPr>
      </w:pPr>
      <w:r>
        <w:t>z dnia 20 września</w:t>
      </w:r>
      <w:r>
        <w:t> 2021 r.</w:t>
      </w:r>
    </w:p>
    <w:p w:rsidR="00A77B3E" w:rsidRDefault="00CE7B13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CE7B13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2020 r. poz. 1990 ze zm.)</w:t>
      </w:r>
    </w:p>
    <w:p w:rsidR="00A77B3E" w:rsidRDefault="00CE7B1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E7B1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</w:t>
      </w:r>
      <w:r>
        <w:t>o niniejszego Zarządzenia.</w:t>
      </w:r>
    </w:p>
    <w:p w:rsidR="00A77B3E" w:rsidRDefault="00CE7B1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CE7B1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CE7B1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kaz nieruchomości, o którym mowa w ust. 1, podlega ogłoszeniu poprzez wywieszenie na tablicy ogłoszeń w siedzibie Urzędu Miejskiego w Elblągu na okres 21 dni, a ponadto informacja o jego wywieszeniu podana zostanie do wiadomości publicznej poprzez ogłoszen</w:t>
      </w:r>
      <w:r>
        <w:rPr>
          <w:color w:val="000000"/>
          <w:u w:color="000000"/>
        </w:rPr>
        <w:t>ie w prasie lokalnej.</w:t>
      </w:r>
    </w:p>
    <w:p w:rsidR="00A77B3E" w:rsidRDefault="00CE7B1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Traci moc Zarządzenie Nr 347/2020 Prezydenta Miasta Elbląg z dnia 26 sierpnia 2020 r. w sprawie sporządzenia i ogłoszenia wykazu nieruchomości przeznaczonych do zbycia.</w:t>
      </w:r>
    </w:p>
    <w:p w:rsidR="00A77B3E" w:rsidRDefault="00CE7B1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Wykonanie zarządzenia powierza się Dyrektorowi </w:t>
      </w:r>
      <w:r>
        <w:rPr>
          <w:color w:val="000000"/>
          <w:u w:color="000000"/>
        </w:rPr>
        <w:t>Departamentu Gospodarki Nieruchomościami i Geodezji.</w:t>
      </w:r>
    </w:p>
    <w:p w:rsidR="00A77B3E" w:rsidRDefault="00CE7B1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CE7B13" w:rsidRDefault="00CE7B13">
      <w:pPr>
        <w:keepLines/>
        <w:spacing w:before="120" w:after="120"/>
        <w:rPr>
          <w:color w:val="000000"/>
          <w:u w:color="000000"/>
        </w:rPr>
        <w:sectPr w:rsidR="00CE7B1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CE7B13">
      <w:pPr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413/2021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20 września </w:t>
      </w:r>
      <w:bookmarkStart w:id="0" w:name="_GoBack"/>
      <w:bookmarkEnd w:id="0"/>
      <w:r>
        <w:rPr>
          <w:color w:val="000000"/>
          <w:u w:color="000000"/>
        </w:rPr>
        <w:t>2021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603FD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CE7B1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2242"/>
        <w:gridCol w:w="1241"/>
        <w:gridCol w:w="1062"/>
        <w:gridCol w:w="1092"/>
        <w:gridCol w:w="897"/>
        <w:gridCol w:w="3797"/>
        <w:gridCol w:w="1286"/>
        <w:gridCol w:w="2571"/>
      </w:tblGrid>
      <w:tr w:rsidR="00603FD5"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30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603FD5" w:rsidRDefault="00CE7B13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603FD5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03FD5">
        <w:trPr>
          <w:trHeight w:val="4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r>
              <w:t xml:space="preserve">ul. Warszawska 61 </w:t>
            </w:r>
          </w:p>
        </w:tc>
        <w:tc>
          <w:tcPr>
            <w:tcW w:w="12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r>
              <w:t>41617/0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r>
              <w:t>454/1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r>
              <w:t>0,6700</w:t>
            </w:r>
          </w:p>
        </w:tc>
        <w:tc>
          <w:tcPr>
            <w:tcW w:w="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38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r>
              <w:t>Działka zabudowana budynkami gospodarczo-magazynowymi, przeznaczonymi do rozbiórki. Przeznaczenie w </w:t>
            </w:r>
            <w:proofErr w:type="spellStart"/>
            <w:r>
              <w:t>mpzp</w:t>
            </w:r>
            <w:proofErr w:type="spellEnd"/>
            <w:r>
              <w:t>: teren sportu i rekreacji</w:t>
            </w:r>
            <w:r>
              <w:rPr>
                <w:sz w:val="20"/>
              </w:rPr>
              <w:t>.</w:t>
            </w:r>
          </w:p>
        </w:tc>
        <w:tc>
          <w:tcPr>
            <w:tcW w:w="129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użytkowanie wieczyste</w:t>
            </w:r>
          </w:p>
        </w:tc>
        <w:tc>
          <w:tcPr>
            <w:tcW w:w="258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554.500 zł </w:t>
            </w:r>
          </w:p>
        </w:tc>
      </w:tr>
      <w:tr w:rsidR="00603FD5">
        <w:trPr>
          <w:trHeight w:val="76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CE7B13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603FD5" w:rsidRDefault="00CE7B13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603FD5">
        <w:trPr>
          <w:trHeight w:val="465"/>
        </w:trPr>
        <w:tc>
          <w:tcPr>
            <w:tcW w:w="1483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03FD5">
        <w:trPr>
          <w:trHeight w:val="283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CE7B13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</w:t>
            </w:r>
          </w:p>
        </w:tc>
        <w:tc>
          <w:tcPr>
            <w:tcW w:w="1423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E7B13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Osoby, o których mowa w art.34 ust.1 ustawy o gospodarce nieruchomościami nabywają nieruchomość za cenę określoną na podstawie art.67 ust.3 ustawy o gospodarce nieruchomościami. </w:t>
            </w:r>
          </w:p>
        </w:tc>
      </w:tr>
      <w:tr w:rsidR="00603FD5">
        <w:trPr>
          <w:trHeight w:val="49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CE7B13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1423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E7B13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Pierwszeństwo w nabyciu nieruchomości określonych w powyższym wykazie do</w:t>
            </w:r>
            <w:r>
              <w:rPr>
                <w:sz w:val="18"/>
              </w:rPr>
              <w:t xml:space="preserve">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</w:t>
            </w:r>
            <w:r>
              <w:rPr>
                <w:sz w:val="18"/>
              </w:rPr>
              <w:t xml:space="preserve">niż 6 tygodni, licząc od dnia wywieszenia wykazu. </w:t>
            </w:r>
          </w:p>
        </w:tc>
      </w:tr>
      <w:tr w:rsidR="00603FD5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CE7B13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1423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E7B13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Pierwsza opłata z tyt. ustanowienia prawa użytkowania wieczystego stanowi 25% wartości gruntu (plus VAT - zgodnie z obowiązującymi przepisami). Opłata jest płatna przed zawarciem umowy sprzedaży.</w:t>
            </w:r>
          </w:p>
        </w:tc>
      </w:tr>
      <w:tr w:rsidR="00603FD5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CE7B13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1423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E7B13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Kolejne opłaty roczne, stanowiące 3% wartości gruntu (plus VAT - zgodnie z obowiązującymi przepisami) i płatne są z góry w terminie do 31 marca każdego roku.</w:t>
            </w:r>
          </w:p>
        </w:tc>
      </w:tr>
      <w:tr w:rsidR="00603FD5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CE7B13">
            <w:pPr>
              <w:jc w:val="righ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1423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E7B13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Wysokość opłat rocznych może być aktualizowana na skutek zmian wartości gruntu, nie częściej </w:t>
            </w:r>
            <w:r>
              <w:rPr>
                <w:sz w:val="18"/>
              </w:rPr>
              <w:t>niż raz na 3 lata.</w:t>
            </w:r>
          </w:p>
        </w:tc>
      </w:tr>
      <w:tr w:rsidR="00603FD5">
        <w:trPr>
          <w:trHeight w:val="264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23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603FD5">
        <w:trPr>
          <w:trHeight w:val="495"/>
        </w:trPr>
        <w:tc>
          <w:tcPr>
            <w:tcW w:w="1483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CE7B1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603FD5"/>
    <w:rsid w:val="00A77B3E"/>
    <w:rsid w:val="00CA2A55"/>
    <w:rsid w:val="00CE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2547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2021-09-22T08:41:00Z</dcterms:created>
  <dcterms:modified xsi:type="dcterms:W3CDTF">2021-09-22T08:41:00Z</dcterms:modified>
  <cp:category>Akt prawny</cp:category>
</cp:coreProperties>
</file>