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290/2021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290/2021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9 lipca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81"/>
        <w:gridCol w:w="1949"/>
        <w:gridCol w:w="1087"/>
        <w:gridCol w:w="901"/>
        <w:gridCol w:w="786"/>
        <w:gridCol w:w="3056"/>
        <w:gridCol w:w="1475"/>
        <w:gridCol w:w="24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196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EL1E/00043590/8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624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16,4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14.800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2.465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/>
          <w:p>
            <w:pPr>
              <w:jc w:val="left"/>
            </w:pPr>
            <w:r>
              <w:rPr>
                <w:sz w:val="16"/>
              </w:rPr>
              <w:t>*Pierwsza opłata z tytułu ustanowienia prawa użytkowania wieczystego, stanowi 25% wartości udziału w gruncie i zostanie powiększona o należny podatek VAT. Opłata ta wraz z ceną sprzedaży lokalu płatna jest przed zawarciem umowy sprzedaży.</w:t>
            </w:r>
          </w:p>
          <w:p>
            <w:pPr>
              <w:jc w:val="left"/>
            </w:pPr>
            <w:r>
              <w:rPr>
                <w:sz w:val="16"/>
              </w:rPr>
              <w:t>Kolejne opłaty roczne, stanowią 1% wartości udziału w gruncie, zostaną powiększone o należny podatek VAT, płatne są z góry w terminie do dnia 31 marca każdego roku. Wysokość opłat rocznych może być aktualizowana na skutek zmian wartości gruntu, nie częściej niż raz na 3 lata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290/2021 z dnia 9 lipca 2021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2021-07-16T10:12:37Z</dcterms:created>
  <dcterms:modified xsi:type="dcterms:W3CDTF">2021-07-16T10:12:37Z</dcterms:modified>
  <cp:category>Akt prawny</cp:category>
</cp:coreProperties>
</file>