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F5438">
      <w:pPr>
        <w:jc w:val="center"/>
        <w:rPr>
          <w:b/>
          <w:caps/>
        </w:rPr>
      </w:pPr>
      <w:r>
        <w:rPr>
          <w:b/>
          <w:caps/>
        </w:rPr>
        <w:t>Zarządzenie Nr 289/2021</w:t>
      </w:r>
      <w:r>
        <w:rPr>
          <w:b/>
          <w:caps/>
        </w:rPr>
        <w:br/>
        <w:t>Prezydenta Miasta Elbląg</w:t>
      </w:r>
    </w:p>
    <w:p w:rsidR="00A77B3E" w:rsidRDefault="006F5438">
      <w:pPr>
        <w:spacing w:before="280" w:after="280"/>
        <w:jc w:val="center"/>
        <w:rPr>
          <w:b/>
          <w:caps/>
        </w:rPr>
      </w:pPr>
      <w:r>
        <w:t>z dnia 9 lipca</w:t>
      </w:r>
      <w:r>
        <w:t> 2021 r.</w:t>
      </w:r>
    </w:p>
    <w:p w:rsidR="00A77B3E" w:rsidRDefault="006F5438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6F5438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6F5438">
      <w:pPr>
        <w:spacing w:before="120" w:after="120"/>
        <w:jc w:val="center"/>
      </w:pPr>
      <w:r>
        <w:t>zarządza się, co następuje: 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 140/2021 Prezydenta Miasta Elbląg z dnia 19 kwietnia 2021 r. w sprawie sporządzenia i ogłoszenia wykazu lokali mies</w:t>
      </w:r>
      <w:r>
        <w:rPr>
          <w:color w:val="000000"/>
          <w:u w:color="000000"/>
        </w:rPr>
        <w:t>zkalnych przeznaczonych do sprzedaży na rzecz najemców oraz udzielenia bonifikat od ceny sprzedaży lokali.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6F54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6F5438" w:rsidRDefault="006F5438">
      <w:pPr>
        <w:keepLines/>
        <w:spacing w:before="120" w:after="120"/>
        <w:rPr>
          <w:color w:val="000000"/>
          <w:u w:color="000000"/>
        </w:rPr>
        <w:sectPr w:rsidR="006F543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F5438">
      <w:pPr>
        <w:ind w:left="7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289/</w:t>
      </w:r>
      <w:r>
        <w:rPr>
          <w:color w:val="000000"/>
          <w:u w:color="000000"/>
        </w:rPr>
        <w:t>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9 lipca</w:t>
      </w:r>
      <w:bookmarkStart w:id="0" w:name="_GoBack"/>
      <w:bookmarkEnd w:id="0"/>
      <w:r>
        <w:rPr>
          <w:color w:val="000000"/>
          <w:u w:color="000000"/>
        </w:rPr>
        <w:t xml:space="preserve"> 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59154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6F5438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</w:t>
      </w:r>
      <w:r>
        <w:rPr>
          <w:b/>
          <w:color w:val="000000"/>
          <w:u w:color="000000"/>
        </w:rPr>
        <w:t>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1952"/>
        <w:gridCol w:w="1907"/>
        <w:gridCol w:w="570"/>
        <w:gridCol w:w="706"/>
      </w:tblGrid>
      <w:tr w:rsidR="0059154B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154B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59154B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154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t>Cicha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23,4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375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0,0242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EL1E/00027436/3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70.200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4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t>Adama Próchnika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47,5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157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0,0310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EL1E/00037387/7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146.300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59154B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0,0898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EL1E/00030077/2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t>108.200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F543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65</w:t>
            </w:r>
          </w:p>
        </w:tc>
      </w:tr>
      <w:tr w:rsidR="0059154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9154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 Osoby, o których mowa w art.34 ust.1 ustawy o gospodarce </w:t>
            </w:r>
            <w:r>
              <w:rPr>
                <w:sz w:val="16"/>
              </w:rPr>
              <w:t>nieruchomościami nabywają nieruchomość za cenę określoną na podstawie art.67 ust.3 ustawy o gospodarce nieruchomościami </w:t>
            </w:r>
          </w:p>
        </w:tc>
      </w:tr>
      <w:tr w:rsidR="0059154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</w:t>
            </w:r>
            <w:r>
              <w:rPr>
                <w:sz w:val="16"/>
              </w:rPr>
              <w:t>ści z mocy ustawy o gospodarce nieruchomościami lub odrębnych przepisów, jeżeli złożą wniosek o jej nabycie w terminie 6 tygodni, licząc od dnia wywieszenia wykazu. </w:t>
            </w:r>
          </w:p>
        </w:tc>
      </w:tr>
      <w:tr w:rsidR="0059154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9154B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F543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9154B"/>
    <w:rsid w:val="006F543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006D77-FB30-433F-8A76-8619FB9D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2021-07-14T08:02:00Z</dcterms:created>
  <dcterms:modified xsi:type="dcterms:W3CDTF">2021-07-14T06:03:00Z</dcterms:modified>
  <cp:category>Akt prawny</cp:category>
</cp:coreProperties>
</file>