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41C74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248/2021</w:t>
      </w:r>
      <w:r>
        <w:rPr>
          <w:b/>
          <w:caps/>
        </w:rPr>
        <w:br/>
        <w:t>Prezydenta Miasta Elbląg</w:t>
      </w:r>
    </w:p>
    <w:p w:rsidR="00A77B3E" w:rsidRDefault="00F41C74">
      <w:pPr>
        <w:spacing w:before="280" w:after="280"/>
        <w:jc w:val="center"/>
        <w:rPr>
          <w:b/>
          <w:caps/>
        </w:rPr>
      </w:pPr>
      <w:r>
        <w:t>z dnia 25 czerwca 2021 r.</w:t>
      </w:r>
    </w:p>
    <w:p w:rsidR="00A77B3E" w:rsidRDefault="00F41C7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F41C74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</w:t>
      </w:r>
      <w:proofErr w:type="spellStart"/>
      <w:r>
        <w:t>t.j</w:t>
      </w:r>
      <w:proofErr w:type="spellEnd"/>
      <w:r>
        <w:t>. Dz.U. z 2020 r. poz. 1990 ze zm.)</w:t>
      </w:r>
    </w:p>
    <w:p w:rsidR="00A77B3E" w:rsidRDefault="00F41C7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</w:t>
      </w:r>
      <w:r>
        <w:rPr>
          <w:color w:val="000000"/>
          <w:u w:color="000000"/>
        </w:rPr>
        <w:t>enia nieruchomości zostaną ustalone w umowach dzierżawy.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</w:t>
      </w:r>
      <w:r>
        <w:rPr>
          <w:color w:val="000000"/>
          <w:u w:color="000000"/>
        </w:rPr>
        <w:t>wieszenie na tablicy ogłoszeń w siedzibie Urzędu Miejskiego na okres 21 dni oraz umieszczenie na stronach internetowych Urzędu Miejskiego w Elblągu, a ponadto informacja o jego wywieszeniu podana zostanie do wiadomości publicznej poprzez ogłoszenie w prasi</w:t>
      </w:r>
      <w:r>
        <w:rPr>
          <w:color w:val="000000"/>
          <w:u w:color="000000"/>
        </w:rPr>
        <w:t>e lokalnej.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41C74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41C74">
      <w:pPr>
        <w:keepNext/>
        <w:spacing w:line="360" w:lineRule="auto"/>
        <w:ind w:left="10326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248/2021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</w:t>
      </w:r>
      <w:r>
        <w:rPr>
          <w:color w:val="000000"/>
          <w:u w:color="000000"/>
        </w:rPr>
        <w:t>25 czerwca 2021 r.</w:t>
      </w:r>
    </w:p>
    <w:p w:rsidR="00A77B3E" w:rsidRDefault="00F41C74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1"/>
        <w:gridCol w:w="1246"/>
        <w:gridCol w:w="929"/>
        <w:gridCol w:w="1949"/>
        <w:gridCol w:w="1447"/>
        <w:gridCol w:w="1518"/>
        <w:gridCol w:w="2481"/>
        <w:gridCol w:w="2711"/>
        <w:gridCol w:w="1835"/>
      </w:tblGrid>
      <w:tr w:rsidR="00750FC4">
        <w:tc>
          <w:tcPr>
            <w:tcW w:w="6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750FC4" w:rsidRDefault="00F41C74">
            <w:pPr>
              <w:jc w:val="center"/>
            </w:pPr>
            <w:r>
              <w:t>w ha</w:t>
            </w:r>
          </w:p>
        </w:tc>
        <w:tc>
          <w:tcPr>
            <w:tcW w:w="2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9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750FC4">
        <w:tc>
          <w:tcPr>
            <w:tcW w:w="6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750FC4" w:rsidRDefault="00F41C74">
            <w:pPr>
              <w:jc w:val="center"/>
            </w:pPr>
            <w:r>
              <w:t>w ha</w:t>
            </w:r>
          </w:p>
        </w:tc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9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A77B3E">
            <w:pPr>
              <w:jc w:val="center"/>
              <w:rPr>
                <w:color w:val="000000"/>
                <w:u w:color="000000"/>
              </w:rPr>
            </w:pPr>
          </w:p>
        </w:tc>
      </w:tr>
      <w:tr w:rsidR="00750FC4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9.</w:t>
            </w:r>
          </w:p>
        </w:tc>
      </w:tr>
      <w:tr w:rsidR="00750FC4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672/4</w:t>
            </w:r>
          </w:p>
          <w:p w:rsidR="00750FC4" w:rsidRDefault="00F41C74">
            <w:pPr>
              <w:jc w:val="center"/>
            </w:pPr>
            <w:r>
              <w:t>672/6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750FC4" w:rsidRDefault="00F41C74">
            <w:pPr>
              <w:jc w:val="center"/>
            </w:pPr>
            <w:r>
              <w:t>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EL1E/00038962/9</w:t>
            </w:r>
          </w:p>
          <w:p w:rsidR="00750FC4" w:rsidRDefault="00F41C74">
            <w:pPr>
              <w:jc w:val="center"/>
            </w:pPr>
            <w:r>
              <w:t>EL1E/00038962/9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750FC4" w:rsidRDefault="00F41C74">
            <w:pPr>
              <w:jc w:val="center"/>
            </w:pPr>
            <w:r>
              <w:t>0,0175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0,0126</w:t>
            </w:r>
          </w:p>
          <w:p w:rsidR="00750FC4" w:rsidRDefault="00F41C74">
            <w:pPr>
              <w:jc w:val="center"/>
            </w:pPr>
            <w:r>
              <w:t>0,0109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ul. Marii Konopnickiej</w:t>
            </w:r>
          </w:p>
          <w:p w:rsidR="00750FC4" w:rsidRDefault="00F41C74">
            <w:pPr>
              <w:jc w:val="center"/>
            </w:pPr>
            <w:r>
              <w:t>ul. Szczygla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750FC4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76/6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EL1E/00033280/9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0,1222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0,0252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ul. Nowodworska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sportowo-rekreacyjne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 xml:space="preserve">0,30 </w:t>
            </w:r>
            <w:r>
              <w:t>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750FC4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24/9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29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EL1E/00034218/1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8,1530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0,0170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ul. Królewiecka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750FC4">
        <w:trPr>
          <w:trHeight w:val="277"/>
        </w:trPr>
        <w:tc>
          <w:tcPr>
            <w:tcW w:w="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371/1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EL1E/00034226/0</w:t>
            </w:r>
          </w:p>
        </w:tc>
        <w:tc>
          <w:tcPr>
            <w:tcW w:w="1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0,0129</w:t>
            </w:r>
          </w:p>
        </w:tc>
        <w:tc>
          <w:tcPr>
            <w:tcW w:w="15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0,0009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ul. Robotnicza</w:t>
            </w:r>
          </w:p>
        </w:tc>
        <w:tc>
          <w:tcPr>
            <w:tcW w:w="2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handel, mała gastronomia</w:t>
            </w:r>
          </w:p>
        </w:tc>
        <w:tc>
          <w:tcPr>
            <w:tcW w:w="1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F41C74">
            <w:pPr>
              <w:jc w:val="center"/>
              <w:rPr>
                <w:color w:val="000000"/>
                <w:u w:color="000000"/>
              </w:rPr>
            </w:pPr>
            <w:r>
              <w:t>15,00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</w:tbl>
    <w:p w:rsidR="00A77B3E" w:rsidRDefault="00F41C7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</w:t>
      </w:r>
      <w:r>
        <w:rPr>
          <w:color w:val="000000"/>
          <w:u w:color="000000"/>
        </w:rPr>
        <w:t>terminie 3 miesięcy od początku okresu rozliczeniowego.</w:t>
      </w:r>
    </w:p>
    <w:p w:rsidR="00A77B3E" w:rsidRDefault="00F41C7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20 każdego miesiąca.</w:t>
      </w:r>
    </w:p>
    <w:p w:rsidR="00A77B3E" w:rsidRDefault="00F41C7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czynszu może nastąpić w przypadku zmiany zarządzenia Prezydenta Miasta Elbląga w sprawie ustalenia stawek czynszu za </w:t>
      </w:r>
      <w:r>
        <w:rPr>
          <w:color w:val="000000"/>
          <w:u w:color="000000"/>
        </w:rPr>
        <w:t>dzierżawę i najem nieruchomości oraz cenników opłat za korzystanie z obiektów sportowych stanowiących miejski zasób nieruchomości.</w:t>
      </w:r>
    </w:p>
    <w:p w:rsidR="00A77B3E" w:rsidRDefault="00F41C74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750FC4"/>
    <w:rsid w:val="00A77B3E"/>
    <w:rsid w:val="00CA2A55"/>
    <w:rsid w:val="00F4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ECDDF4A-C412-41A1-B115-656F0D386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2100</Characters>
  <Application>Microsoft Office Word</Application>
  <DocSecurity>0</DocSecurity>
  <Lines>17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248/2021 z dnia 25 czerwca 2021 r.</vt:lpstr>
      <vt:lpstr/>
    </vt:vector>
  </TitlesOfParts>
  <Company>Prezydent Miasta Elbląg</Company>
  <LinksUpToDate>false</LinksUpToDate>
  <CharactersWithSpaces>2445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248/2021 z dnia 25 czerwca 2021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2021-06-29T06:40:00Z</dcterms:created>
  <dcterms:modified xsi:type="dcterms:W3CDTF">2021-06-29T06:40:00Z</dcterms:modified>
  <cp:category>Akt prawny</cp:category>
</cp:coreProperties>
</file>