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35852">
      <w:pPr>
        <w:jc w:val="center"/>
        <w:rPr>
          <w:b/>
          <w:caps/>
        </w:rPr>
      </w:pPr>
      <w:r>
        <w:rPr>
          <w:b/>
          <w:caps/>
        </w:rPr>
        <w:t>Zarządzenie Nr 239</w:t>
      </w:r>
      <w:bookmarkStart w:id="0" w:name="_GoBack"/>
      <w:bookmarkEnd w:id="0"/>
      <w:r w:rsidR="002D707A"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A77B3E" w:rsidRDefault="00E35852">
      <w:pPr>
        <w:spacing w:before="280" w:after="280"/>
        <w:jc w:val="center"/>
        <w:rPr>
          <w:b/>
          <w:caps/>
        </w:rPr>
      </w:pPr>
      <w:r>
        <w:t xml:space="preserve">z dnia </w:t>
      </w:r>
      <w:r w:rsidR="002D707A">
        <w:t>18 czerwca</w:t>
      </w:r>
      <w:r>
        <w:t> 2021 r.</w:t>
      </w:r>
    </w:p>
    <w:p w:rsidR="00A77B3E" w:rsidRDefault="00E3585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E3585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E3585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358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 xml:space="preserve">ia się obciążyć nieruchomości gruntowe, stanowiące własność Gminy Miasto Elbląg, szczegółowo opisane w załączniku nr 1 do niniejszego zarządzenia, służebnością przesyłu na rzecz </w:t>
      </w:r>
      <w:r w:rsidR="0046171F">
        <w:rPr>
          <w:color w:val="000000"/>
          <w:u w:color="000000"/>
        </w:rPr>
        <w:t>Polskiej Spółki Gazownictwa sp. z o.o. Oddział Zakład Gazowniczy w Olsztynie</w:t>
      </w:r>
      <w:r>
        <w:rPr>
          <w:color w:val="000000"/>
          <w:u w:color="000000"/>
        </w:rPr>
        <w:t>.</w:t>
      </w:r>
    </w:p>
    <w:p w:rsidR="00A77B3E" w:rsidRDefault="00E3585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E358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358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D707A"/>
    <w:rsid w:val="0046171F"/>
    <w:rsid w:val="00A77B3E"/>
    <w:rsid w:val="00CA2A55"/>
    <w:rsid w:val="00D452DF"/>
    <w:rsid w:val="00E3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2021-06-24T11:49:00Z</dcterms:created>
  <dcterms:modified xsi:type="dcterms:W3CDTF">2021-06-24T11:49:00Z</dcterms:modified>
  <cp:category>Akt prawny</cp:category>
</cp:coreProperties>
</file>