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184/2021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maja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2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184/2021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21 maja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7"/>
        <w:gridCol w:w="2238"/>
        <w:gridCol w:w="1224"/>
        <w:gridCol w:w="1164"/>
        <w:gridCol w:w="1060"/>
        <w:gridCol w:w="1060"/>
        <w:gridCol w:w="3878"/>
        <w:gridCol w:w="1194"/>
        <w:gridCol w:w="237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Karola Szymanowskiego 2/10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32308/5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170/1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0,0547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Lokal mieszkalny nr 10 o pow. 54,0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wraz z przynależną piwnicą o pow. 2,9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. </w:t>
            </w:r>
          </w:p>
          <w:p>
            <w:pPr>
              <w:jc w:val="center"/>
            </w:pPr>
            <w:r>
              <w:rPr>
                <w:sz w:val="20"/>
              </w:rPr>
              <w:t>Z lokalem związany jest udział 0,0104 w częściach wspólnych i niepodzielnych oraz w prawie własności gruntu.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110.000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3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Zacisze 11/13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31964/4</w:t>
            </w:r>
          </w:p>
        </w:tc>
        <w:tc>
          <w:tcPr>
            <w:tcW w:w="11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77/7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0,0228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Lokal mieszkalny nr 13 o pow. 32,9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wraz z przynależną piwnicą o pow. 3,2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. </w:t>
            </w:r>
          </w:p>
          <w:p>
            <w:pPr>
              <w:jc w:val="center"/>
            </w:pPr>
            <w:r>
              <w:rPr>
                <w:sz w:val="20"/>
              </w:rPr>
              <w:t>Z lokalem związany jest udział 0,064 w częściach wspólnych i niepodzielnych oraz w prawie własności gruntu.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8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58.000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7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Zacisze 13/5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30478/3</w:t>
            </w:r>
          </w:p>
        </w:tc>
        <w:tc>
          <w:tcPr>
            <w:tcW w:w="11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0,0307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Lokal mieszkalny nr 5 o pow. 37,8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wraz z przynależną piwnicą o pow. 2,8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. </w:t>
            </w:r>
          </w:p>
          <w:p>
            <w:pPr>
              <w:jc w:val="center"/>
            </w:pPr>
            <w:r>
              <w:rPr>
                <w:sz w:val="20"/>
              </w:rPr>
              <w:t>Z lokalem związany jest udział 0,0665 w częściach wspólnych i niepodzielnych oraz w prawie własności gruntu.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8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70.000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2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367"/>
        <w:gridCol w:w="4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184/2021 z dnia 21 maja 2021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2021-05-27T12:09:15Z</dcterms:created>
  <dcterms:modified xsi:type="dcterms:W3CDTF">2021-05-27T12:09:15Z</dcterms:modified>
  <cp:category>Akt prawny</cp:category>
</cp:coreProperties>
</file>