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187/2021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16/2011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219 stycznia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nieruchomości przeznaczonych do zbycia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187/2021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maja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481"/>
        <w:gridCol w:w="1949"/>
        <w:gridCol w:w="1087"/>
        <w:gridCol w:w="901"/>
        <w:gridCol w:w="786"/>
        <w:gridCol w:w="3271"/>
        <w:gridCol w:w="1260"/>
        <w:gridCol w:w="245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Malborska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EL1E/00034238/7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275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0,0021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16,63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17.880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4.790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0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Aleksandra Fredry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EL1E/00039439/1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40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16,5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14.380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4.110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Krakusa 119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EL1E/00034236/3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698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40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16,33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15.130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4.480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6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Szczecińska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EL1E/00032094/1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393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340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16,4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16.380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4.780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Zagonowa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EL1E/00033113/8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91/32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0,0020</w:t>
            </w:r>
          </w:p>
        </w:tc>
        <w:tc>
          <w:tcPr>
            <w:tcW w:w="8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340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16,38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17.630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5.420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187/2021 z dnia 21 maja 2021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2021-05-25T11:02:28Z</dcterms:created>
  <dcterms:modified xsi:type="dcterms:W3CDTF">2021-05-25T11:02:28Z</dcterms:modified>
  <cp:category>Akt prawny</cp:category>
</cp:coreProperties>
</file>