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130/2021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13 kwietnia 2021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130/2021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13 kwietnia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4"/>
        <w:gridCol w:w="2250"/>
        <w:gridCol w:w="1230"/>
        <w:gridCol w:w="1140"/>
        <w:gridCol w:w="1110"/>
        <w:gridCol w:w="990"/>
        <w:gridCol w:w="3884"/>
        <w:gridCol w:w="1230"/>
        <w:gridCol w:w="236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0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Druska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75536/5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45/10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0,1500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24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 xml:space="preserve">Działki niezabudowane. Brak Miejscowego planu zagospodarowania przestrzennego.  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320.000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35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45/11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0,0693</w:t>
            </w: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7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431"/>
        <w:gridCol w:w="735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both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nabycie przed upływem terminu określonego w wykazie: termin złożenia wniosku nie może być krótszy niż 6 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350" w:type="dxa"/>
          <w:trHeight w:val="465"/>
        </w:trPr>
        <w:tc>
          <w:tcPr>
            <w:tcW w:w="742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130/2021 z dnia 13 kwietnia 2021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2021-04-15T15:19:49Z</dcterms:created>
  <dcterms:modified xsi:type="dcterms:W3CDTF">2021-04-15T15:19:49Z</dcterms:modified>
  <cp:category>Akt prawny</cp:category>
</cp:coreProperties>
</file>