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129/2021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kwietnia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 1 do Zarządzenia Nr 98/2016 Prezydenta Miasta Elbląg z dnia 14 marca 2016 r. w sprawie sporządzenia i ogłoszenia wykazu nieruchomości przeznaczonych do zbycia, skreśla się poz. 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 352/2020 Prezydenta Miasta Elbląg z dnia 28 sierpnia 2020 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129/2021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13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Michała Rosnowskiego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56212/9</w:t>
            </w:r>
          </w:p>
          <w:p>
            <w:pPr>
              <w:jc w:val="center"/>
            </w:pPr>
            <w:r>
              <w:t>58630/9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856/3</w:t>
            </w:r>
          </w:p>
          <w:p>
            <w:pPr>
              <w:jc w:val="center"/>
            </w:pPr>
            <w:r>
              <w:t>48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0,6776</w:t>
            </w:r>
          </w:p>
          <w:p>
            <w:pPr>
              <w:jc w:val="center"/>
            </w:pPr>
            <w:r>
              <w:t>0,1182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  <w:p>
            <w:pPr>
              <w:jc w:val="center"/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Działki niezabudowane, przeznaczenie w</w:t>
            </w:r>
            <w:r>
              <w:t> </w:t>
            </w:r>
            <w:r>
              <w:t>mpzp: tereny obiektów produkcyjnych, składów i magazynów i/lub zabudowy usługowej.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711.500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4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Michała Rosnowskiego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56212/9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856/4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0,6774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niezabudowana, przeznaczenie w</w:t>
            </w:r>
            <w:r>
              <w:t> </w:t>
            </w:r>
            <w:r>
              <w:t>mpzp: tereny obiektów produkcyjnych, składów i magazynów i/lub zabudowy usługowej.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605.500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Michała Rosnowskiego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56212/9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856/5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0,5005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niezabudowana, przeznaczenie w</w:t>
            </w:r>
            <w:r>
              <w:t> </w:t>
            </w:r>
            <w:r>
              <w:t>mpzp: tereny obiektów produkcyjnych, składów i magazynów i/lub zabudowy usługowej.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447.500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Żuławska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1774/6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628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3,4036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niezabudowana, przeznaczenie w</w:t>
            </w:r>
            <w:r>
              <w:t> </w:t>
            </w:r>
            <w:r>
              <w:t>mpzp: tereny funkcji usługowych i</w:t>
            </w:r>
            <w:r>
              <w:t> </w:t>
            </w:r>
            <w:r>
              <w:t>przemysłowych.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5.000.000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129/2021 z dnia 13 kwietnia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2021-04-15T15:25:35Z</dcterms:created>
  <dcterms:modified xsi:type="dcterms:W3CDTF">2021-04-15T15:25:35Z</dcterms:modified>
  <cp:category>Akt prawny</cp:category>
</cp:coreProperties>
</file>