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34FE1">
      <w:pPr>
        <w:jc w:val="center"/>
        <w:rPr>
          <w:b/>
          <w:caps/>
        </w:rPr>
      </w:pPr>
      <w:r>
        <w:rPr>
          <w:b/>
          <w:caps/>
        </w:rPr>
        <w:t>Zarządzenie Nr 416/2020</w:t>
      </w:r>
      <w:r>
        <w:rPr>
          <w:b/>
          <w:caps/>
        </w:rPr>
        <w:br/>
        <w:t>Prezydenta Miasta Elbląg</w:t>
      </w:r>
    </w:p>
    <w:p w:rsidR="00A77B3E" w:rsidRDefault="00A34FE1">
      <w:pPr>
        <w:spacing w:before="280" w:after="280"/>
        <w:jc w:val="center"/>
        <w:rPr>
          <w:b/>
          <w:caps/>
        </w:rPr>
      </w:pPr>
      <w:r>
        <w:t xml:space="preserve">z dnia 21 października </w:t>
      </w:r>
      <w:bookmarkStart w:id="0" w:name="_GoBack"/>
      <w:bookmarkEnd w:id="0"/>
      <w:r>
        <w:t>2020 r.</w:t>
      </w:r>
    </w:p>
    <w:p w:rsidR="00A77B3E" w:rsidRDefault="00A34FE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34FE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A34FE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34F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</w:t>
      </w:r>
      <w:r>
        <w:rPr>
          <w:color w:val="000000"/>
          <w:u w:color="000000"/>
        </w:rPr>
        <w:t>ć nieruchomości gruntowe,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A34FE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</w:t>
      </w:r>
      <w:r>
        <w:rPr>
          <w:color w:val="000000"/>
          <w:u w:color="000000"/>
        </w:rPr>
        <w:t xml:space="preserve"> warunki ustanowienia służebności zostaną określone w protokole z rokowań.</w:t>
      </w:r>
    </w:p>
    <w:p w:rsidR="00A77B3E" w:rsidRDefault="00A34F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34F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34FE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2020-11-03T12:43:00Z</dcterms:created>
  <dcterms:modified xsi:type="dcterms:W3CDTF">2020-11-03T12:43:00Z</dcterms:modified>
  <cp:category>Akt prawny</cp:category>
</cp:coreProperties>
</file>