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C92C82">
      <w:pPr>
        <w:jc w:val="center"/>
        <w:rPr>
          <w:b/>
          <w:caps/>
        </w:rPr>
      </w:pPr>
      <w:r>
        <w:rPr>
          <w:b/>
          <w:caps/>
        </w:rPr>
        <w:t>Zarządzenie Nr 408/2020</w:t>
      </w:r>
      <w:r>
        <w:rPr>
          <w:b/>
          <w:caps/>
        </w:rPr>
        <w:br/>
        <w:t>Prezydenta Miasta Elbląg</w:t>
      </w:r>
    </w:p>
    <w:p w:rsidR="00A77B3E" w:rsidRDefault="00C92C82">
      <w:pPr>
        <w:spacing w:before="280" w:after="280"/>
        <w:jc w:val="center"/>
        <w:rPr>
          <w:b/>
          <w:caps/>
        </w:rPr>
      </w:pPr>
      <w:r>
        <w:t>z dnia 9 października</w:t>
      </w:r>
      <w:r>
        <w:t> 2020 r.</w:t>
      </w:r>
    </w:p>
    <w:p w:rsidR="00A77B3E" w:rsidRDefault="00C92C82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C92C82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</w:t>
      </w:r>
      <w:r>
        <w:rPr>
          <w:sz w:val="24"/>
        </w:rPr>
        <w:t>ustawy z dnia 21 sierpnia 1997 r. o gospodarce nieruchomościami (t.j. Dz.U. z 2020 r. poz. 65 ze zm.)</w:t>
      </w:r>
    </w:p>
    <w:p w:rsidR="00A77B3E" w:rsidRDefault="00C92C82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C92C8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 Z zasobu nieruchomości Gminy Miasto Elbląg przeznacza się do zbycia nieruchomości szczegółowo opisane w załączniku do</w:t>
      </w:r>
      <w:r>
        <w:t xml:space="preserve"> niniejszego Zarządzenia.</w:t>
      </w:r>
    </w:p>
    <w:p w:rsidR="00A77B3E" w:rsidRDefault="00C92C8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 protokołach.</w:t>
      </w:r>
    </w:p>
    <w:p w:rsidR="00A77B3E" w:rsidRDefault="00C92C8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 Ogłasza się wykaz nieruchomości przeznaczonych do zbycia, wymienionych w załączniku  do niniejszego Zarządzenia.</w:t>
      </w:r>
    </w:p>
    <w:p w:rsidR="00A77B3E" w:rsidRDefault="00C92C8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</w:t>
      </w:r>
      <w:r>
        <w:rPr>
          <w:color w:val="000000"/>
          <w:u w:color="000000"/>
        </w:rPr>
        <w:t>kaz nieruchomości, o którym mowa w ust. 1, podlega ogłoszeniu poprzez wywieszenie na tablicy ogłoszeń w siedzibie Urzędu Miejskiego w Elblągu na okres 21 dni, a ponadto informacja o jego wywieszeniu podana zostanie do wiadomości publicznej poprzez ogłoszen</w:t>
      </w:r>
      <w:r>
        <w:rPr>
          <w:color w:val="000000"/>
          <w:u w:color="000000"/>
        </w:rPr>
        <w:t>ie w prasie lokalnej.</w:t>
      </w:r>
    </w:p>
    <w:p w:rsidR="00A77B3E" w:rsidRDefault="00C92C8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 Wykonanie zarządzenia powierza się Dyrektorowi Departamentu Gospodarki Nieruchomościami i Geodezji.</w:t>
      </w:r>
    </w:p>
    <w:p w:rsidR="00A77B3E" w:rsidRDefault="00C92C8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 W załączniku do Zarządzenia Nr 466/2019 Prezydenta Miasta Elbląg z dnia 18 października 2019 r. w sprawie sporządzenia i </w:t>
      </w:r>
      <w:r>
        <w:rPr>
          <w:color w:val="000000"/>
          <w:u w:color="000000"/>
        </w:rPr>
        <w:t>ogłoszenia wykazu nieruchomości przeznaczonych do zbycia, dokonuje się sprostowania omyłki pisarskiej: w poz. 3 w kol. 8 skreśla się własność, a w to miejsce nadaje się treść o brzmieniu użytkowanie wieczyste.</w:t>
      </w:r>
    </w:p>
    <w:p w:rsidR="00A77B3E" w:rsidRDefault="00C92C8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 W załączniku Nr 1 do Zarządzenia Nr 299/</w:t>
      </w:r>
      <w:r>
        <w:rPr>
          <w:color w:val="000000"/>
          <w:u w:color="000000"/>
        </w:rPr>
        <w:t>2014 Prezydenta Miasta Elbląg z dnia 4 lipca 2014 r. w sprawie sporządzenia i ogłoszenia wykazu nieruchomości przeznaczonych do zbycia, skreśla się poz. 36.</w:t>
      </w:r>
    </w:p>
    <w:p w:rsidR="00A77B3E" w:rsidRDefault="00C92C8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Zarządzenie wchodzi w życie z dniem podpisania.</w:t>
      </w:r>
    </w:p>
    <w:p w:rsidR="00C92C82" w:rsidRDefault="00C92C82">
      <w:pPr>
        <w:keepLines/>
        <w:spacing w:before="120" w:after="120"/>
        <w:rPr>
          <w:color w:val="000000"/>
          <w:u w:color="000000"/>
        </w:rPr>
        <w:sectPr w:rsidR="00C92C82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C92C82">
      <w:pPr>
        <w:keepNext/>
        <w:spacing w:before="120"/>
        <w:ind w:left="899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408/2020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9 października </w:t>
      </w:r>
      <w:bookmarkStart w:id="0" w:name="_GoBack"/>
      <w:bookmarkEnd w:id="0"/>
      <w:r>
        <w:rPr>
          <w:color w:val="000000"/>
          <w:u w:color="000000"/>
        </w:rPr>
        <w:t>2020 r.</w:t>
      </w:r>
    </w:p>
    <w:p w:rsidR="00A77B3E" w:rsidRDefault="00C92C82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2237"/>
        <w:gridCol w:w="1231"/>
        <w:gridCol w:w="1051"/>
        <w:gridCol w:w="1096"/>
        <w:gridCol w:w="1066"/>
        <w:gridCol w:w="3888"/>
        <w:gridCol w:w="1216"/>
        <w:gridCol w:w="2417"/>
      </w:tblGrid>
      <w:tr w:rsidR="00FE7A83">
        <w:trPr>
          <w:trHeight w:val="330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2C82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br/>
            </w:r>
            <w:proofErr w:type="spellStart"/>
            <w:r>
              <w:rPr>
                <w:b/>
                <w:color w:val="000000"/>
                <w:u w:color="000000"/>
              </w:rPr>
              <w:t>Lp</w:t>
            </w:r>
            <w:proofErr w:type="spellEnd"/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2C82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C92C82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2C8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2C8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</w:t>
            </w:r>
            <w:r>
              <w:rPr>
                <w:b/>
                <w:color w:val="000000"/>
                <w:u w:color="000000"/>
              </w:rPr>
              <w:t>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2C8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FE7A83" w:rsidRDefault="00C92C82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FE7A83"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2C8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2C8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2C8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2C8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2C8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2C8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2C8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2C8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2C82">
            <w:pPr>
              <w:jc w:val="center"/>
              <w:rPr>
                <w:color w:val="000000"/>
                <w:u w:color="000000"/>
              </w:rPr>
            </w:pPr>
          </w:p>
        </w:tc>
      </w:tr>
      <w:tr w:rsidR="00FE7A83">
        <w:trPr>
          <w:trHeight w:val="825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2C82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2C82">
            <w:pPr>
              <w:jc w:val="center"/>
              <w:rPr>
                <w:color w:val="000000"/>
                <w:u w:color="000000"/>
              </w:rPr>
            </w:pPr>
            <w:r>
              <w:t>ul. Jana Henryka Pestalozziego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2C82">
            <w:pPr>
              <w:jc w:val="center"/>
              <w:rPr>
                <w:color w:val="000000"/>
                <w:u w:color="000000"/>
              </w:rPr>
            </w:pPr>
            <w:r>
              <w:t>38599/3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2C82">
            <w:pPr>
              <w:jc w:val="center"/>
              <w:rPr>
                <w:color w:val="000000"/>
                <w:u w:color="000000"/>
              </w:rPr>
            </w:pPr>
            <w:r>
              <w:t>90/33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2C82">
            <w:pPr>
              <w:jc w:val="center"/>
              <w:rPr>
                <w:color w:val="000000"/>
                <w:u w:color="000000"/>
              </w:rPr>
            </w:pPr>
            <w:r>
              <w:t>0,0600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2C82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2C82">
            <w:pPr>
              <w:jc w:val="center"/>
              <w:rPr>
                <w:color w:val="000000"/>
                <w:u w:color="000000"/>
              </w:rPr>
            </w:pPr>
            <w:r>
              <w:t xml:space="preserve">Działka niezabudowana, położona na terenie zabudowy usługowej i mieszkaniowej wielorodzinnej, z przeznaczeniem podstawowym pod usługi </w:t>
            </w:r>
            <w:r>
              <w:t>cenotwórcze o znaczeniu ogólnomiejskim i regionalnym.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92C82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C92C8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205.000 zł</w:t>
            </w:r>
          </w:p>
        </w:tc>
      </w:tr>
      <w:tr w:rsidR="00FE7A83"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C92C8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C92C8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C92C8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C92C8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C92C8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C92C8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C92C8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C92C8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1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C92C8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FE7A83" w:rsidRDefault="00C92C82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 w:rsidRDefault="00C92C82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31"/>
        <w:gridCol w:w="7356"/>
      </w:tblGrid>
      <w:tr w:rsidR="00FE7A83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C92C8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sz w:val="18"/>
                <w:u w:color="000000"/>
              </w:rPr>
              <w:t>* Osoby, o których mowa w art.34 ust.1 ustawy o gospodarce nieruchomościami nabywają nieruchomość za cenę określoną</w:t>
            </w:r>
            <w:r>
              <w:rPr>
                <w:color w:val="000000"/>
                <w:sz w:val="18"/>
                <w:u w:color="000000"/>
              </w:rPr>
              <w:t xml:space="preserve"> na podstawie art.67 ust.3 ustawy o gospodarce nieruchomościami. </w:t>
            </w:r>
          </w:p>
          <w:p w:rsidR="00A77B3E" w:rsidRDefault="00C92C82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Pierwszeństwo w nabyciu nieruchomości określonych w powyższym wykazie dotyczy osób, którym przysługuje roszczenie o nabycie nieruchomości z mocy ustawy o gospodarce nieruchomościami lub </w:t>
            </w:r>
            <w:r>
              <w:rPr>
                <w:color w:val="000000"/>
                <w:sz w:val="18"/>
                <w:u w:color="000000"/>
              </w:rPr>
              <w:t>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 w:rsidR="00FE7A83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C92C82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Pierwsza opłata z tytułu ustanowienia prawa użytkowania wieczys</w:t>
            </w:r>
            <w:r>
              <w:rPr>
                <w:sz w:val="18"/>
              </w:rPr>
              <w:t>tego, stanowi 25 % ceny gruntu i zostanie powiększona o należny podatek VAT. Opłata ta płatna jest przed zawarciem umowy sprzedaży.</w:t>
            </w:r>
          </w:p>
          <w:p w:rsidR="00FE7A83" w:rsidRDefault="00C92C82">
            <w:r>
              <w:rPr>
                <w:sz w:val="18"/>
              </w:rPr>
              <w:t xml:space="preserve">Kolejne opłaty roczne, stanowią 3 % wartości udziału w gruncie, zostaną powiększone o należny podatek VAT, płatne są z góry </w:t>
            </w:r>
            <w:r>
              <w:rPr>
                <w:sz w:val="18"/>
              </w:rPr>
              <w:t>w terminie do dnia 31 marca każdego roku.</w:t>
            </w:r>
          </w:p>
          <w:p w:rsidR="00FE7A83" w:rsidRDefault="00C92C82">
            <w:r>
              <w:rPr>
                <w:sz w:val="18"/>
              </w:rPr>
              <w:t>Wysokość opłat rocznych może być aktualizowana na skutek zmian wartości gruntu, nie częściej niż raz na 3 lata.</w:t>
            </w:r>
          </w:p>
        </w:tc>
      </w:tr>
      <w:tr w:rsidR="00FE7A83">
        <w:trPr>
          <w:gridAfter w:val="1"/>
          <w:wAfter w:w="7350" w:type="dxa"/>
          <w:trHeight w:val="465"/>
        </w:trPr>
        <w:tc>
          <w:tcPr>
            <w:tcW w:w="7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C92C82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Aleksandra Kłos, Inspektor</w:t>
            </w:r>
          </w:p>
        </w:tc>
      </w:tr>
    </w:tbl>
    <w:p w:rsidR="00A77B3E" w:rsidRDefault="00C92C82">
      <w:pPr>
        <w:rPr>
          <w:color w:val="000000"/>
          <w:u w:color="000000"/>
        </w:rPr>
      </w:pPr>
    </w:p>
    <w:p w:rsidR="00A77B3E" w:rsidRDefault="00C92C82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A83"/>
    <w:rsid w:val="00C92C82"/>
    <w:rsid w:val="00FE7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483</Words>
  <Characters>2902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3379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2020-10-12T06:28:00Z</dcterms:created>
  <dcterms:modified xsi:type="dcterms:W3CDTF">2020-10-12T06:28:00Z</dcterms:modified>
  <cp:category>Akt prawny</cp:category>
</cp:coreProperties>
</file>