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E287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393/2020</w:t>
      </w:r>
      <w:r>
        <w:rPr>
          <w:b/>
          <w:caps/>
        </w:rPr>
        <w:br/>
        <w:t>Prezydenta Miasta Elbląg</w:t>
      </w:r>
    </w:p>
    <w:p w:rsidR="00A77B3E" w:rsidRDefault="00DE2873">
      <w:pPr>
        <w:spacing w:before="280" w:after="280"/>
        <w:jc w:val="center"/>
        <w:rPr>
          <w:b/>
          <w:caps/>
        </w:rPr>
      </w:pPr>
      <w:r>
        <w:t>z dnia 28 września 2020 r.</w:t>
      </w:r>
    </w:p>
    <w:p w:rsidR="00A77B3E" w:rsidRDefault="00DE2873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E2873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DE287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E28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DE287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:rsidR="00A77B3E" w:rsidRDefault="00DE28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E28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873"/>
    <w:rsid w:val="00DE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393/2020 z dnia 28 września 2020 r.</vt:lpstr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393/2020 z dnia 28 września 2020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2020-09-29T08:53:00Z</dcterms:created>
  <dcterms:modified xsi:type="dcterms:W3CDTF">2020-09-29T08:53:00Z</dcterms:modified>
  <cp:category>Akt prawny</cp:category>
</cp:coreProperties>
</file>