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93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390/2020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 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2582"/>
        <w:gridCol w:w="2026"/>
        <w:gridCol w:w="1126"/>
        <w:gridCol w:w="931"/>
        <w:gridCol w:w="810"/>
        <w:gridCol w:w="3257"/>
        <w:gridCol w:w="1516"/>
        <w:gridCol w:w="24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Ostródzka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EL1E/00039988/4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1097/3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0,0026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21,2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najemcy.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17.530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6.910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390/2020 z dnia 25 września 2020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2020-09-29T11:25:02Z</dcterms:created>
  <dcterms:modified xsi:type="dcterms:W3CDTF">2020-09-29T11:25:02Z</dcterms:modified>
  <cp:category>Akt prawny</cp:category>
</cp:coreProperties>
</file>