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8F66A0">
      <w:pPr>
        <w:jc w:val="center"/>
        <w:rPr>
          <w:b/>
          <w:caps/>
        </w:rPr>
      </w:pPr>
      <w:r>
        <w:rPr>
          <w:b/>
          <w:caps/>
        </w:rPr>
        <w:t>Zarządzenie Nr 203/2020</w:t>
      </w:r>
      <w:r>
        <w:rPr>
          <w:b/>
          <w:caps/>
        </w:rPr>
        <w:br/>
        <w:t>Prezydenta Miasta Elbląg</w:t>
      </w:r>
    </w:p>
    <w:p w:rsidR="00A77B3E" w:rsidRDefault="008F66A0">
      <w:pPr>
        <w:spacing w:before="280" w:after="280"/>
        <w:jc w:val="center"/>
        <w:rPr>
          <w:b/>
          <w:caps/>
        </w:rPr>
      </w:pPr>
      <w:r>
        <w:t xml:space="preserve">z dnia 4 czerwca </w:t>
      </w:r>
      <w:r>
        <w:t>2020 r.</w:t>
      </w:r>
    </w:p>
    <w:p w:rsidR="00A77B3E" w:rsidRDefault="008F66A0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8F66A0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65 ze zm.)</w:t>
      </w:r>
    </w:p>
    <w:p w:rsidR="00A77B3E" w:rsidRDefault="008F66A0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8F66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zbycia nieruchomości szczegółowo opisane w załączniku do</w:t>
      </w:r>
      <w:r>
        <w:t xml:space="preserve"> niniejszego Zarządzenia.</w:t>
      </w:r>
    </w:p>
    <w:p w:rsidR="00A77B3E" w:rsidRDefault="008F66A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8F66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zbycia, wymienionych w załączniku  do niniejszego Zarządzenia.</w:t>
      </w:r>
    </w:p>
    <w:p w:rsidR="00A77B3E" w:rsidRDefault="008F66A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8F66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 Tracą moc:</w:t>
      </w:r>
    </w:p>
    <w:p w:rsidR="00A77B3E" w:rsidRDefault="008F66A0">
      <w:pPr>
        <w:spacing w:before="120" w:after="120"/>
        <w:ind w:left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Zarządzenie Nr 155/2020 Prezydenta Miasta Elbląg z dnia 22 kwietnia 2020 r. w sprawie sporządzenia i ogłoszenia wykazu nieruchomości przeznaczonych do zbycia,</w:t>
      </w:r>
    </w:p>
    <w:p w:rsidR="00A77B3E" w:rsidRDefault="008F66A0">
      <w:pPr>
        <w:spacing w:before="120" w:after="120"/>
        <w:ind w:left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Zarządzenie Nr 166/2019 Prezydenta Miasta Elbląg </w:t>
      </w:r>
      <w:r>
        <w:rPr>
          <w:color w:val="000000"/>
          <w:u w:color="000000"/>
        </w:rPr>
        <w:t>z dnia 2 kwietnia 2019 r. w sprawie sporządzenia i ogłoszenia wykazu nieruchomości przeznaczonych do zbycia oraz udzielenia bonifikaty od ceny sprzedaży.</w:t>
      </w:r>
    </w:p>
    <w:p w:rsidR="00A77B3E" w:rsidRDefault="008F66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 Wykonanie zarządzenia powierza się Dyrektorowi Departamentu Gospodarki Nieruchomościami i Geodez</w:t>
      </w:r>
      <w:r>
        <w:rPr>
          <w:color w:val="000000"/>
          <w:u w:color="000000"/>
        </w:rPr>
        <w:t>ji.</w:t>
      </w:r>
    </w:p>
    <w:p w:rsidR="00A77B3E" w:rsidRDefault="008F66A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8F66A0" w:rsidRDefault="008F66A0">
      <w:pPr>
        <w:keepLines/>
        <w:spacing w:before="120" w:after="120"/>
        <w:rPr>
          <w:color w:val="000000"/>
          <w:u w:color="000000"/>
        </w:rPr>
        <w:sectPr w:rsidR="008F66A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8F66A0">
      <w:pPr>
        <w:keepNext/>
        <w:spacing w:before="120"/>
        <w:ind w:left="899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203/2020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4 czerwca </w:t>
      </w:r>
      <w:bookmarkStart w:id="0" w:name="_GoBack"/>
      <w:bookmarkEnd w:id="0"/>
      <w:r>
        <w:rPr>
          <w:color w:val="000000"/>
          <w:u w:color="000000"/>
        </w:rPr>
        <w:t>2020 r.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</w:p>
    <w:p w:rsidR="00A77B3E" w:rsidRDefault="008F66A0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br/>
        <w:t>WYKAZ</w:t>
      </w:r>
      <w:r>
        <w:rPr>
          <w:b/>
          <w:color w:val="000000"/>
          <w:u w:color="000000"/>
        </w:rPr>
        <w:br/>
        <w:t>nieruchomości przeznaczonyc</w:t>
      </w:r>
      <w:r>
        <w:rPr>
          <w:b/>
          <w:color w:val="000000"/>
          <w:u w:color="000000"/>
        </w:rPr>
        <w:t>h do zbycia w drodze przetargu</w:t>
      </w:r>
      <w:r>
        <w:rPr>
          <w:b/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61"/>
        <w:gridCol w:w="1051"/>
        <w:gridCol w:w="1081"/>
        <w:gridCol w:w="1051"/>
        <w:gridCol w:w="3888"/>
        <w:gridCol w:w="1201"/>
        <w:gridCol w:w="2402"/>
      </w:tblGrid>
      <w:tr w:rsidR="00C87C7D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8F66A0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C87C7D" w:rsidRDefault="008F66A0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C87C7D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b/>
                <w:color w:val="000000"/>
                <w:u w:color="000000"/>
              </w:rPr>
              <w:br/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 dz.</w:t>
            </w:r>
            <w:r>
              <w:rPr>
                <w:b/>
                <w:color w:val="000000"/>
                <w:u w:color="000000"/>
              </w:rPr>
              <w:br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b/>
                <w:color w:val="000000"/>
                <w:u w:color="000000"/>
              </w:rPr>
              <w:br/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</w:p>
        </w:tc>
      </w:tr>
      <w:tr w:rsidR="00C87C7D">
        <w:trPr>
          <w:trHeight w:val="76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t>ul. Michała Rosnowskiego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t>58630/9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t>49/3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t>0,3228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Nieruchomość niezabudowana</w:t>
            </w:r>
          </w:p>
          <w:p w:rsidR="00C87C7D" w:rsidRDefault="008F66A0">
            <w:pPr>
              <w:jc w:val="center"/>
            </w:pPr>
            <w:r>
              <w:rPr>
                <w:sz w:val="18"/>
              </w:rPr>
              <w:t>Przeznaczenie zgodnie z </w:t>
            </w:r>
            <w:proofErr w:type="spellStart"/>
            <w:r>
              <w:rPr>
                <w:sz w:val="18"/>
              </w:rPr>
              <w:t>mpzp</w:t>
            </w:r>
            <w:proofErr w:type="spellEnd"/>
            <w:r>
              <w:rPr>
                <w:sz w:val="18"/>
              </w:rPr>
              <w:t>: zabudowa obiektami produkcyjnymi, składów i magazynów i/lub zabudowa usługowa.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118.000 zł</w:t>
            </w:r>
          </w:p>
        </w:tc>
      </w:tr>
      <w:tr w:rsidR="00C87C7D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8F66A0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C87C7D" w:rsidRDefault="008F66A0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8F66A0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367"/>
        <w:gridCol w:w="420"/>
      </w:tblGrid>
      <w:tr w:rsidR="00C87C7D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F66A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sz w:val="18"/>
                <w:u w:color="000000"/>
              </w:rPr>
              <w:t xml:space="preserve">* Osoby, o których mowa w art.34 ust.1 ustawy o gospodarce </w:t>
            </w:r>
            <w:r>
              <w:rPr>
                <w:color w:val="000000"/>
                <w:sz w:val="18"/>
                <w:u w:color="000000"/>
              </w:rPr>
              <w:t>nieruchomościami nabywają nieruchomość za cenę określoną na podstawie art.67 ust.3 ustawy o gospodarce nieruchomościami. </w:t>
            </w:r>
          </w:p>
          <w:p w:rsidR="00A77B3E" w:rsidRDefault="008F66A0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Pierwszeństwo w nabyciu nieruchomości określonych w powyższym wykazie dotyczy osób, którym przysługuje roszczenie o nabycie </w:t>
            </w:r>
            <w:r>
              <w:rPr>
                <w:color w:val="000000"/>
                <w:sz w:val="18"/>
                <w:u w:color="000000"/>
              </w:rPr>
              <w:t>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 w:rsidR="00C87C7D"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8F66A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</w:t>
            </w:r>
            <w:r>
              <w:rPr>
                <w:i/>
                <w:sz w:val="18"/>
              </w:rPr>
              <w:t>porządziła: Aleksandra Kłos, Inspektor</w:t>
            </w:r>
          </w:p>
        </w:tc>
      </w:tr>
    </w:tbl>
    <w:p w:rsidR="00A77B3E" w:rsidRDefault="008F66A0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C7D"/>
    <w:rsid w:val="008F66A0"/>
    <w:rsid w:val="00C8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2308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2020-06-05T08:21:00Z</dcterms:created>
  <dcterms:modified xsi:type="dcterms:W3CDTF">2020-06-05T08:21:00Z</dcterms:modified>
  <cp:category>Akt prawny</cp:category>
</cp:coreProperties>
</file>