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073BD">
      <w:pPr>
        <w:jc w:val="center"/>
        <w:rPr>
          <w:b/>
          <w:caps/>
        </w:rPr>
      </w:pPr>
      <w:r>
        <w:rPr>
          <w:b/>
          <w:caps/>
        </w:rPr>
        <w:t>Zarządzenie Nr 147/2020</w:t>
      </w:r>
      <w:r>
        <w:rPr>
          <w:b/>
          <w:caps/>
        </w:rPr>
        <w:br/>
        <w:t>Prezydenta Miasta Elbląg</w:t>
      </w:r>
    </w:p>
    <w:p w:rsidR="00A77B3E" w:rsidRDefault="00F073BD">
      <w:pPr>
        <w:spacing w:before="280" w:after="280"/>
        <w:jc w:val="center"/>
        <w:rPr>
          <w:b/>
          <w:caps/>
        </w:rPr>
      </w:pPr>
      <w:r>
        <w:t>z dnia 10 kwietnia</w:t>
      </w:r>
      <w:r>
        <w:t> 2020 r.</w:t>
      </w:r>
    </w:p>
    <w:p w:rsidR="00A77B3E" w:rsidRDefault="00F073BD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F073BD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F073BD">
      <w:pPr>
        <w:spacing w:before="120" w:after="120"/>
        <w:jc w:val="center"/>
      </w:pPr>
      <w:r>
        <w:t>zarządza się, co następuje: </w:t>
      </w:r>
    </w:p>
    <w:p w:rsidR="00A77B3E" w:rsidRDefault="00F073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</w:t>
      </w:r>
      <w:r>
        <w:t>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F073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</w:t>
      </w:r>
      <w:r>
        <w:rPr>
          <w:color w:val="000000"/>
          <w:u w:color="000000"/>
        </w:rPr>
        <w:t xml:space="preserve"> ceny sprzedaży lokali mieszkalnych, o których mowa w ust.1, w wysokościach jak w załączniku do niniejszego zarządzenia.</w:t>
      </w:r>
    </w:p>
    <w:p w:rsidR="00A77B3E" w:rsidRDefault="00F073BD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F073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</w:t>
      </w:r>
      <w:r>
        <w:rPr>
          <w:color w:val="000000"/>
          <w:u w:color="000000"/>
        </w:rPr>
        <w:t>mości przeznaczonych do zbycia, wymienionych w załączniku do niniejszego zarządzenia.</w:t>
      </w:r>
    </w:p>
    <w:p w:rsidR="00A77B3E" w:rsidRDefault="00F073B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</w:t>
      </w:r>
      <w:r>
        <w:rPr>
          <w:color w:val="000000"/>
          <w:u w:color="000000"/>
        </w:rPr>
        <w:t>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F073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F073B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073BD" w:rsidRDefault="00F073BD">
      <w:pPr>
        <w:keepLines/>
        <w:spacing w:before="120" w:after="120"/>
        <w:rPr>
          <w:color w:val="000000"/>
          <w:u w:color="000000"/>
        </w:rPr>
        <w:sectPr w:rsidR="00F073B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F073BD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147/2020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10 kwietnia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F073BD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</w:t>
      </w:r>
      <w:r>
        <w:rPr>
          <w:b/>
          <w:color w:val="000000"/>
          <w:u w:color="000000"/>
        </w:rPr>
        <w:t>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025E21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025E21" w:rsidRDefault="00F073BD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025E21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25E21" w:rsidRDefault="00F073BD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25E21" w:rsidRDefault="00F073BD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025E21" w:rsidRDefault="00F073BD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25E21" w:rsidRDefault="00F073BD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025E21" w:rsidRDefault="00F073BD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025E21" w:rsidRDefault="00F073BD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Czerniakowska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50,9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45/5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0,0188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EL1E/00032059/4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133.700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Juliana Fałata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103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55,0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170/1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0,0490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EL1E/00067809/1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148.200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Artura Grottgera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56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45,8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630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0,0373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EL1E/00040921/7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121.200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Janowska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64,2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326/1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0,0724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EL1E/00035935/0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222.100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32,9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77/2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0,0184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EL1E/00031292/2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87.900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12 Lutego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45,4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170/1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0,0639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EL1E/00033459/5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150.500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Plac Słowiański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25,4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EL1E/00021437/8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88.600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Plac Wolności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21,2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320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0,1610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EL1E/00024259/7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74.100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025E21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t>Stefana Żeromskiego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40,9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373/1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0,0226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EL1E/00036197/1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103.100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73BD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025E21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nieruchomość za cenę określoną na podstawie </w:t>
            </w:r>
            <w:r>
              <w:rPr>
                <w:sz w:val="16"/>
              </w:rPr>
              <w:t>art.67 ust.3 ustawy o gospodarce nieruchomościami </w:t>
            </w:r>
          </w:p>
        </w:tc>
      </w:tr>
      <w:tr w:rsidR="00025E21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o gospodarce nieruchomościami lub odrębnych </w:t>
            </w:r>
            <w:r>
              <w:rPr>
                <w:sz w:val="16"/>
              </w:rPr>
              <w:t>przepisów, jeżeli złożą wniosek o jej nabycie w terminie 6 tygodni, licząc od dnia wywieszenia wykazu. </w:t>
            </w:r>
          </w:p>
        </w:tc>
      </w:tr>
      <w:tr w:rsidR="00025E21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F073B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F073BD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25E21"/>
    <w:rsid w:val="00025E21"/>
    <w:rsid w:val="00F0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446E62-B280-4B6B-BE0C-93DB1E132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2020-04-21T13:05:00Z</dcterms:created>
  <dcterms:modified xsi:type="dcterms:W3CDTF">2020-04-21T11:06:00Z</dcterms:modified>
  <cp:category>Akt prawny</cp:category>
</cp:coreProperties>
</file>