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148/2020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10 kwietnia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65 ze zm.),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329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148/2020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10 kwietnia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537"/>
        <w:gridCol w:w="1381"/>
        <w:gridCol w:w="1126"/>
        <w:gridCol w:w="1096"/>
        <w:gridCol w:w="1096"/>
        <w:gridCol w:w="3963"/>
        <w:gridCol w:w="1141"/>
        <w:gridCol w:w="187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5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Artura Grottgera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37977/0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675/1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0,1752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Nieruchomość niezabudowana. Leży na obszarze, na którym nie ma obowiązującego miejscowego planu zagospodarowania przestrzennego. Nieruchomość, zbywana w trybie art. 37 ust.2 pkt 4) u.g.n., tj. w drodze zamiany 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268 074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5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5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2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Wojciecha Zajchowskiego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31865/0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8/13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0,0611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niezabudowana. Leży na obszarze, na którym nie ma obowiązującego miejscowego planu zagospodarowania przestrzennego. Nieruchomość, zbywana w trybie art. 37 ust.2 pkt 4) u.g.n., tj.  w drodze zamiany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użytkowanie wieczyste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65 333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05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both"/>
            </w:pPr>
            <w:r>
              <w:rPr>
                <w:sz w:val="20"/>
              </w:rPr>
              <w:t>1. Osoby, o których mowa w art.34 ust.1 ustawy o gospodarce nieruchomościami nabywają nieruchomość za cenę określoną na podstawie art.67 ust.3 ustawy o gospodarce nieruchomościami. 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wykazu;</w:t>
            </w:r>
          </w:p>
          <w:p>
            <w:pPr>
              <w:jc w:val="both"/>
            </w:pPr>
            <w:r>
              <w:rPr>
                <w:sz w:val="20"/>
              </w:rPr>
              <w:t>2. Nie pobiera się pierwszej opłaty z tytułu ustanowienia prawa użytkowania wieczystego, w przypadku zamiany o której mowa w art.14 ust.4 i art.15 ust.2 ustawy o gospodarce nieruchomościami;</w:t>
            </w:r>
          </w:p>
          <w:p>
            <w:pPr>
              <w:jc w:val="both"/>
            </w:pPr>
            <w:r>
              <w:rPr>
                <w:sz w:val="20"/>
              </w:rPr>
              <w:t>3. Kolejne opłaty roczne, stanowią 3% wartości rynkowej prawa własności nieruchomości, powiększone o należny podatek VAT, płatne z góry w terminie do dnia 31 marca każdego roku;</w:t>
            </w:r>
          </w:p>
          <w:p>
            <w:pPr>
              <w:jc w:val="both"/>
            </w:pPr>
            <w:r>
              <w:rPr>
                <w:sz w:val="20"/>
              </w:rPr>
              <w:t>4. Wysokość opłat rocznych może być aktualizowana na skutek zmian wartości gruntu, nie częściej niż raz na 3 lat</w:t>
            </w:r>
            <w:r>
              <w:t>a.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/>
          <w:p/>
          <w:p>
            <w:pPr>
              <w:jc w:val="both"/>
            </w:pPr>
            <w:r>
              <w:rPr>
                <w:i/>
              </w:rPr>
              <w:t>Sporządziła: Mariola Sznajder, 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148/2020 z dnia 10 kwietnia 2020 r.</dc:title>
  <dc:subject>w sprawie sporządzenia i^ogłoszenia wykazu nieruchomości przeznaczonych do zbycia</dc:subject>
  <dc:creator>maszn</dc:creator>
  <cp:lastModifiedBy>maszn</cp:lastModifiedBy>
  <cp:revision>1</cp:revision>
  <dcterms:created xsi:type="dcterms:W3CDTF">2020-04-17T09:14:19Z</dcterms:created>
  <dcterms:modified xsi:type="dcterms:W3CDTF">2020-04-17T09:14:19Z</dcterms:modified>
  <cp:category>Akt prawny</cp:category>
</cp:coreProperties>
</file>