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36DAB">
      <w:pPr>
        <w:jc w:val="center"/>
        <w:rPr>
          <w:b/>
          <w:caps/>
        </w:rPr>
      </w:pPr>
      <w:r>
        <w:rPr>
          <w:b/>
          <w:caps/>
        </w:rPr>
        <w:t>Zarządzenie Nr 76/2020</w:t>
      </w:r>
      <w:r>
        <w:rPr>
          <w:b/>
          <w:caps/>
        </w:rPr>
        <w:br/>
        <w:t>Prezydenta Miasta Elbląg</w:t>
      </w:r>
    </w:p>
    <w:p w:rsidR="00A77B3E" w:rsidRDefault="00036DAB">
      <w:pPr>
        <w:spacing w:before="280" w:after="280"/>
        <w:jc w:val="center"/>
        <w:rPr>
          <w:b/>
          <w:caps/>
        </w:rPr>
      </w:pPr>
      <w:r>
        <w:t>z dnia 21 lutego</w:t>
      </w:r>
      <w:r>
        <w:t> 2020 r.</w:t>
      </w:r>
    </w:p>
    <w:p w:rsidR="00A77B3E" w:rsidRDefault="00036DAB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036DAB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65)</w:t>
      </w:r>
    </w:p>
    <w:p w:rsidR="00A77B3E" w:rsidRDefault="00036DA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</w:t>
      </w:r>
      <w:r>
        <w:rPr>
          <w:color w:val="000000"/>
          <w:u w:color="000000"/>
        </w:rPr>
        <w:t>gółowe warunki zbycia poszczególnych nieruchomości zostaną ustalone w protokołach z rokowań.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</w:t>
      </w:r>
      <w:r>
        <w:rPr>
          <w:color w:val="000000"/>
          <w:u w:color="000000"/>
        </w:rPr>
        <w:t>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</w:t>
      </w:r>
      <w:r>
        <w:rPr>
          <w:color w:val="000000"/>
          <w:u w:color="000000"/>
        </w:rPr>
        <w:t>rządzenia powierza się Dyrektorowi Departamentu Gospodarki Nieruchomościami i Geodezji.</w:t>
      </w:r>
    </w:p>
    <w:p w:rsidR="00A77B3E" w:rsidRDefault="00036D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36DAB" w:rsidRDefault="00036DAB">
      <w:pPr>
        <w:keepLines/>
        <w:spacing w:before="120" w:after="120"/>
        <w:rPr>
          <w:color w:val="000000"/>
          <w:u w:color="000000"/>
        </w:rPr>
        <w:sectPr w:rsidR="00036DAB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036DAB">
      <w:pPr>
        <w:keepNext/>
        <w:spacing w:before="280" w:after="280" w:line="360" w:lineRule="auto"/>
        <w:ind w:left="106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76/2020</w:t>
      </w:r>
      <w:bookmarkStart w:id="0" w:name="_GoBack"/>
      <w:bookmarkEnd w:id="0"/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21 lutego</w:t>
      </w:r>
      <w:r>
        <w:t> 2020 r.</w:t>
      </w:r>
    </w:p>
    <w:p w:rsidR="00A77B3E" w:rsidRDefault="00036DA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1975E7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</w:tr>
      <w:tr w:rsidR="001975E7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1975E7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</w:p>
        </w:tc>
      </w:tr>
      <w:tr w:rsidR="001975E7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left"/>
              <w:rPr>
                <w:color w:val="000000"/>
                <w:u w:color="000000"/>
              </w:rPr>
            </w:pPr>
            <w:r>
              <w:t>Krakusa 213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EL1E/00034236/3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570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1975E7" w:rsidRDefault="00036DAB">
            <w:pPr>
              <w:jc w:val="center"/>
            </w:pPr>
            <w:r>
              <w:t>boksem garażowym</w:t>
            </w:r>
          </w:p>
          <w:p w:rsidR="001975E7" w:rsidRDefault="00036DAB">
            <w:pPr>
              <w:jc w:val="center"/>
            </w:pPr>
            <w:r>
              <w:t>o pow. użytkowej 16,4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1975E7" w:rsidRDefault="00036DAB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36D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13.140 zł.</w:t>
            </w:r>
          </w:p>
          <w:p w:rsidR="001975E7" w:rsidRDefault="00036DAB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2.395 zł.</w:t>
            </w:r>
          </w:p>
          <w:p w:rsidR="001975E7" w:rsidRDefault="00036DAB">
            <w:pPr>
              <w:jc w:val="center"/>
            </w:pPr>
            <w:r>
              <w:t>plus należny podatek VAT zgodnie z </w:t>
            </w:r>
            <w:r>
              <w:t>obowiązującymi przepisami</w:t>
            </w:r>
          </w:p>
        </w:tc>
      </w:tr>
      <w:tr w:rsidR="001975E7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36DAB">
            <w:pPr>
              <w:rPr>
                <w:color w:val="000000"/>
                <w:u w:color="000000"/>
              </w:rPr>
            </w:pPr>
          </w:p>
        </w:tc>
      </w:tr>
      <w:tr w:rsidR="001975E7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36DAB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036DA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975E7"/>
    <w:rsid w:val="00036DAB"/>
    <w:rsid w:val="0019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D17875-035B-487D-986E-6CE94EB8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2020-02-25T12:39:00Z</dcterms:created>
  <dcterms:modified xsi:type="dcterms:W3CDTF">2020-02-25T11:40:00Z</dcterms:modified>
  <cp:category>Akt prawny</cp:category>
</cp:coreProperties>
</file>