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446D26">
      <w:pPr>
        <w:jc w:val="center"/>
        <w:rPr>
          <w:b/>
          <w:caps/>
        </w:rPr>
      </w:pPr>
      <w:r>
        <w:rPr>
          <w:b/>
          <w:caps/>
        </w:rPr>
        <w:t>Zarządzenie Nr 34/2020</w:t>
      </w:r>
      <w:r>
        <w:rPr>
          <w:b/>
          <w:caps/>
        </w:rPr>
        <w:br/>
        <w:t>Prezydenta Miasta Elbląg</w:t>
      </w:r>
    </w:p>
    <w:p w:rsidR="00A77B3E" w:rsidRDefault="00446D26">
      <w:pPr>
        <w:spacing w:before="280" w:after="280"/>
        <w:jc w:val="center"/>
        <w:rPr>
          <w:b/>
          <w:caps/>
        </w:rPr>
      </w:pPr>
      <w:r>
        <w:t>z dnia 24 stycznia</w:t>
      </w:r>
      <w:r>
        <w:t> 2020 r.</w:t>
      </w:r>
    </w:p>
    <w:p w:rsidR="00A77B3E" w:rsidRDefault="00446D26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446D26">
      <w:pPr>
        <w:keepLines/>
        <w:spacing w:before="120" w:after="120"/>
        <w:rPr>
          <w:sz w:val="24"/>
        </w:rPr>
      </w:pPr>
      <w:r>
        <w:rPr>
          <w:sz w:val="24"/>
        </w:rPr>
        <w:t>Na podstawie art. 35 ust. 1 i 2 </w:t>
      </w:r>
      <w:r>
        <w:rPr>
          <w:sz w:val="24"/>
        </w:rPr>
        <w:t>ustawy z dnia 21 sierpnia 1997 r. o gospodarce nieruchomościami (t.j. Dz.U. z 2020 r. poz. 65)</w:t>
      </w:r>
    </w:p>
    <w:p w:rsidR="00A77B3E" w:rsidRDefault="00446D26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446D2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 do niniejs</w:t>
      </w:r>
      <w:r>
        <w:t>zego Zarządzenia.</w:t>
      </w:r>
    </w:p>
    <w:p w:rsidR="00A77B3E" w:rsidRDefault="00446D26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właściwych protokołach.</w:t>
      </w:r>
    </w:p>
    <w:p w:rsidR="00A77B3E" w:rsidRDefault="00446D2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 do niniejszego Zarządzenia.</w:t>
      </w:r>
    </w:p>
    <w:p w:rsidR="00A77B3E" w:rsidRDefault="00446D26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</w:t>
      </w:r>
      <w:r>
        <w:rPr>
          <w:color w:val="000000"/>
          <w:u w:color="000000"/>
        </w:rPr>
        <w:t>chomości, o którym mowa w ust. 1, podlega ogłoszeniu poprzez wywieszenie na tablicy ogłoszeń w siedzibie Urzędu Miejskiego w Elblągu na okres 21 dni, a ponadto informacja o jego wywieszeniu podana zostanie do wiadomości publicznej poprzez ogłoszenie w pras</w:t>
      </w:r>
      <w:r>
        <w:rPr>
          <w:color w:val="000000"/>
          <w:u w:color="000000"/>
        </w:rPr>
        <w:t>ie lokalnej.</w:t>
      </w:r>
    </w:p>
    <w:p w:rsidR="00A77B3E" w:rsidRDefault="00446D2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446D2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446D26" w:rsidRDefault="00446D26">
      <w:pPr>
        <w:keepLines/>
        <w:spacing w:before="120" w:after="120"/>
        <w:rPr>
          <w:color w:val="000000"/>
          <w:u w:color="000000"/>
        </w:rPr>
        <w:sectPr w:rsidR="00446D26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446D26">
      <w:pPr>
        <w:keepNext/>
        <w:spacing w:before="120"/>
        <w:ind w:left="899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34/2020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t>Prezydenta Miasta Elbląg</w:t>
      </w:r>
      <w:r>
        <w:rPr>
          <w:color w:val="000000"/>
          <w:u w:color="000000"/>
        </w:rPr>
        <w:br/>
        <w:t xml:space="preserve">z dnia 24 stycznia </w:t>
      </w:r>
      <w:r>
        <w:rPr>
          <w:color w:val="000000"/>
          <w:u w:color="000000"/>
        </w:rPr>
        <w:t>2020 r.</w:t>
      </w:r>
    </w:p>
    <w:p w:rsidR="00A77B3E" w:rsidRDefault="00446D26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</w:t>
      </w:r>
      <w:bookmarkStart w:id="0" w:name="_GoBack"/>
      <w:bookmarkEnd w:id="0"/>
      <w:r>
        <w:rPr>
          <w:b/>
          <w:color w:val="000000"/>
          <w:u w:color="000000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242"/>
        <w:gridCol w:w="1241"/>
        <w:gridCol w:w="1062"/>
        <w:gridCol w:w="1092"/>
        <w:gridCol w:w="1062"/>
        <w:gridCol w:w="3871"/>
        <w:gridCol w:w="1211"/>
        <w:gridCol w:w="1973"/>
        <w:gridCol w:w="433"/>
      </w:tblGrid>
      <w:tr w:rsidR="00B359B3">
        <w:trPr>
          <w:trHeight w:val="33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6D26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br/>
            </w:r>
            <w:proofErr w:type="spellStart"/>
            <w:r>
              <w:rPr>
                <w:b/>
                <w:color w:val="000000"/>
                <w:u w:color="000000"/>
              </w:rPr>
              <w:t>Lp</w:t>
            </w:r>
            <w:proofErr w:type="spellEnd"/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6D26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446D26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6D2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6D2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4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6D2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B359B3" w:rsidRDefault="00446D26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B359B3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6D2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6D2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6D2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6D2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6D2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6D2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6D2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6D2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1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6D26">
            <w:pPr>
              <w:jc w:val="center"/>
              <w:rPr>
                <w:color w:val="000000"/>
                <w:u w:color="000000"/>
              </w:rPr>
            </w:pPr>
          </w:p>
        </w:tc>
      </w:tr>
      <w:tr w:rsidR="00B359B3">
        <w:trPr>
          <w:trHeight w:val="99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6D26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6D26">
            <w:pPr>
              <w:jc w:val="center"/>
              <w:rPr>
                <w:color w:val="000000"/>
                <w:u w:color="000000"/>
              </w:rPr>
            </w:pPr>
            <w:r>
              <w:t>Odzieżowa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6D26">
            <w:pPr>
              <w:jc w:val="center"/>
              <w:rPr>
                <w:color w:val="000000"/>
                <w:u w:color="000000"/>
              </w:rPr>
            </w:pPr>
            <w:r>
              <w:t>72484/4</w:t>
            </w:r>
          </w:p>
          <w:p w:rsidR="00B359B3" w:rsidRDefault="00446D26">
            <w:pPr>
              <w:jc w:val="center"/>
            </w:pPr>
            <w:r>
              <w:t>33106/6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6D26">
            <w:pPr>
              <w:jc w:val="center"/>
              <w:rPr>
                <w:color w:val="000000"/>
                <w:u w:color="000000"/>
              </w:rPr>
            </w:pPr>
            <w:r>
              <w:t>40/46</w:t>
            </w:r>
          </w:p>
          <w:p w:rsidR="00B359B3" w:rsidRDefault="00446D26">
            <w:pPr>
              <w:jc w:val="center"/>
            </w:pPr>
            <w:r>
              <w:t>39/6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6D26">
            <w:pPr>
              <w:jc w:val="center"/>
              <w:rPr>
                <w:color w:val="000000"/>
                <w:u w:color="000000"/>
              </w:rPr>
            </w:pPr>
            <w:r>
              <w:t>0,0238</w:t>
            </w:r>
          </w:p>
          <w:p w:rsidR="00B359B3" w:rsidRDefault="00446D26">
            <w:pPr>
              <w:jc w:val="center"/>
            </w:pPr>
            <w:r>
              <w:t>0,0090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6D26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6D2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Nieruchomości niezabudowane</w:t>
            </w:r>
          </w:p>
          <w:p w:rsidR="00B359B3" w:rsidRDefault="00446D26">
            <w:pPr>
              <w:jc w:val="center"/>
            </w:pPr>
            <w:r>
              <w:rPr>
                <w:sz w:val="20"/>
              </w:rPr>
              <w:t>Przeznaczenie zgodnie z </w:t>
            </w:r>
            <w:proofErr w:type="spellStart"/>
            <w:r>
              <w:rPr>
                <w:sz w:val="20"/>
              </w:rPr>
              <w:t>mpzp</w:t>
            </w:r>
            <w:proofErr w:type="spellEnd"/>
            <w:r>
              <w:rPr>
                <w:sz w:val="20"/>
              </w:rPr>
              <w:t>: tereny zabudowy mieszkaniowej wielorodzinnej z dopuszczeniem nieuciążliwych funkcji usługowych</w:t>
            </w:r>
          </w:p>
          <w:p w:rsidR="00B359B3" w:rsidRDefault="00446D26">
            <w:pPr>
              <w:jc w:val="center"/>
            </w:pPr>
            <w:r>
              <w:rPr>
                <w:sz w:val="20"/>
              </w:rPr>
              <w:t xml:space="preserve">Działki zbywane </w:t>
            </w:r>
            <w:r>
              <w:rPr>
                <w:sz w:val="20"/>
              </w:rPr>
              <w:t xml:space="preserve">w trybie art. 37 ust.2 pkt 6) </w:t>
            </w:r>
            <w:proofErr w:type="spellStart"/>
            <w:r>
              <w:rPr>
                <w:sz w:val="20"/>
              </w:rPr>
              <w:t>u.g.n</w:t>
            </w:r>
            <w:proofErr w:type="spellEnd"/>
            <w:r>
              <w:rPr>
                <w:sz w:val="20"/>
              </w:rPr>
              <w:t>., tj. celem poprawy warunków zagospodarowania nieruchomości przyległej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46D26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446D2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38.504 zł</w:t>
            </w:r>
          </w:p>
        </w:tc>
      </w:tr>
      <w:tr w:rsidR="00B359B3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446D2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446D2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446D2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446D2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446D2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446D2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446D2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446D26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15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446D26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B359B3" w:rsidRDefault="00446D26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B359B3">
        <w:trPr>
          <w:trHeight w:val="465"/>
        </w:trPr>
        <w:tc>
          <w:tcPr>
            <w:tcW w:w="1483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446D26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sz w:val="18"/>
                <w:u w:color="000000"/>
              </w:rPr>
              <w:t xml:space="preserve">* Osoby, o których mowa w art.34 ust.1 ustawy o gospodarce </w:t>
            </w:r>
            <w:r>
              <w:rPr>
                <w:color w:val="000000"/>
                <w:sz w:val="18"/>
                <w:u w:color="000000"/>
              </w:rPr>
              <w:t>nieruchomościami nabywają nieruchomość za cenę określoną na podstawie art.67 ust.3 ustawy o gospodarce nieruchomościami. </w:t>
            </w:r>
          </w:p>
          <w:p w:rsidR="00A77B3E" w:rsidRDefault="00446D26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Pierwszeństwo w nabyciu nieruchomości określonych w powyższym wykazie dotyczy osób, którym przysługuje roszczenie o nabycie </w:t>
            </w:r>
            <w:r>
              <w:rPr>
                <w:color w:val="000000"/>
                <w:sz w:val="18"/>
                <w:u w:color="000000"/>
              </w:rPr>
              <w:t>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 w:rsidR="00B359B3">
        <w:trPr>
          <w:gridAfter w:val="1"/>
          <w:wAfter w:w="435" w:type="dxa"/>
          <w:trHeight w:val="465"/>
        </w:trPr>
        <w:tc>
          <w:tcPr>
            <w:tcW w:w="1440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446D26">
            <w:pPr>
              <w:jc w:val="left"/>
              <w:rPr>
                <w:color w:val="000000"/>
                <w:u w:color="000000"/>
              </w:rPr>
            </w:pPr>
          </w:p>
        </w:tc>
      </w:tr>
      <w:tr w:rsidR="00B359B3">
        <w:trPr>
          <w:gridAfter w:val="1"/>
          <w:wAfter w:w="435" w:type="dxa"/>
          <w:trHeight w:val="465"/>
        </w:trPr>
        <w:tc>
          <w:tcPr>
            <w:tcW w:w="1440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446D26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Aleksandra Kłos, Inspektor</w:t>
            </w:r>
          </w:p>
        </w:tc>
      </w:tr>
    </w:tbl>
    <w:p w:rsidR="00A77B3E" w:rsidRDefault="00446D26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9B3"/>
    <w:rsid w:val="00446D26"/>
    <w:rsid w:val="00B35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349</Words>
  <Characters>2095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zbycia</dc:subject>
  <dc:creator>alklo</dc:creator>
  <cp:lastModifiedBy>Aleksandra Kłos</cp:lastModifiedBy>
  <cp:revision>2</cp:revision>
  <dcterms:created xsi:type="dcterms:W3CDTF">2020-01-27T13:02:00Z</dcterms:created>
  <dcterms:modified xsi:type="dcterms:W3CDTF">2020-01-27T13:02:00Z</dcterms:modified>
  <cp:category>Akt prawny</cp:category>
</cp:coreProperties>
</file>