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312/2019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lipca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312/2019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 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131"/>
        <w:gridCol w:w="1036"/>
        <w:gridCol w:w="886"/>
        <w:gridCol w:w="931"/>
        <w:gridCol w:w="931"/>
        <w:gridCol w:w="3513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 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Władysława Reymonta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32290/5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849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0,0014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własność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1.601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1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plus VAT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obowiązującymi przepisami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Jana III Sobieskiego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32716/8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2/5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0,0015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własność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1.716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1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plus VAT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obowiązującymi przepisami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2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ul.Kaliska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16880/0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1052/1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0,0092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10.522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2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plus VAT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2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Marii Konopnickiej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41612/5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1088/1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0,0086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9.836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2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plus VAT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131"/>
        <w:gridCol w:w="1036"/>
        <w:gridCol w:w="886"/>
        <w:gridCol w:w="931"/>
        <w:gridCol w:w="931"/>
        <w:gridCol w:w="3513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2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t>ul. Marii Konopnickiej</w:t>
            </w:r>
          </w:p>
          <w:p>
            <w:pPr>
              <w:jc w:val="left"/>
            </w:pP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41612/5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1088/2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0,0049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</w:p>
          <w:p>
            <w:pPr>
              <w:jc w:val="left"/>
            </w:pPr>
          </w:p>
          <w:p>
            <w:pPr>
              <w:jc w:val="center"/>
            </w:pPr>
            <w:r>
              <w:rPr>
                <w:b/>
              </w:rPr>
              <w:t>11.894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2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plus VAT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t>ul. Kaliska</w:t>
            </w:r>
          </w:p>
          <w:p>
            <w:pPr>
              <w:jc w:val="left"/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16880/0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1052/2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0,0055</w:t>
            </w: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312/2019 z dnia 8 lipca 2019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2019-07-09T11:12:15Z</dcterms:created>
  <dcterms:modified xsi:type="dcterms:W3CDTF">2019-07-09T11:12:15Z</dcterms:modified>
  <cp:category>Akt prawny</cp:category>
</cp:coreProperties>
</file>