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176/2019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 kwietnia 2019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lokali mieszkalnych przeznaczonych do sprzedaży na rzecz najemców oraz udzielenia bonifikat od ceny sprzedaży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art.35 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2, art.37 ust.2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ust.1 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2204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ze zm.) oraz §1 uchwały Nr XXIII/538/05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czerwca 2005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sprawie zasad udzielania bonifikat od ceny sprzedaży lokali mieszkalnych na rzecz ich najemców (t.j. Dz.Urz.Woj. Warm.-Mazur.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4693),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sprzedaży lokale mieszkalne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udziałami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prawie własności przynależnych części nieruchomości gruntowych, szczegółowo opisanych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zarządzenia, na rzecz najemców tych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lokali mieszkalnych,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ust.1,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sprzedaży nieruchomości lokalowych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rokowań.</w:t>
      </w:r>
    </w:p>
    <w:p w:rsidR="00A77B3E">
      <w:pPr>
        <w:keepNext w:val="0"/>
        <w:keepLines/>
        <w:spacing w:before="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umów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notarialnego.</w:t>
      </w:r>
    </w:p>
    <w:p w:rsidR="00A77B3E">
      <w:pPr>
        <w:keepNext w:val="0"/>
        <w:keepLines/>
        <w:spacing w:before="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0" w:after="0" w:line="240" w:lineRule="auto"/>
        <w:ind w:left="9467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176/2019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 kwietnia 2019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45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lokali mieszkalnych przeznaczonych do sprzedaży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trybie bezprzetargowym na rzecz ich najemców 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wraz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udziałem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prawie własności przynależnej części gruntu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630"/>
        <w:gridCol w:w="2460"/>
        <w:gridCol w:w="1095"/>
        <w:gridCol w:w="930"/>
        <w:gridCol w:w="1155"/>
        <w:gridCol w:w="975"/>
        <w:gridCol w:w="885"/>
        <w:gridCol w:w="1005"/>
        <w:gridCol w:w="1995"/>
        <w:gridCol w:w="1845"/>
        <w:gridCol w:w="1515"/>
        <w:gridCol w:w="61"/>
        <w:gridCol w:w="119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trHeight w:hRule="auto" w:val="0"/>
        </w:trPr>
        <w:tc>
          <w:tcPr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2"/>
          <w:trHeight w:val="273"/>
        </w:trPr>
        <w:tc>
          <w:tcPr>
            <w:tcW w:w="6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Lp.</w:t>
            </w:r>
          </w:p>
        </w:tc>
        <w:tc>
          <w:tcPr>
            <w:tcW w:w="564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Oznaczenie lokalu</w:t>
            </w:r>
          </w:p>
        </w:tc>
        <w:tc>
          <w:tcPr>
            <w:tcW w:w="486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Oznaczenie nieruchomości gruntowej</w:t>
            </w:r>
          </w:p>
        </w:tc>
        <w:tc>
          <w:tcPr>
            <w:tcW w:w="184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Cena nieruchomości lokalowej w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 xml:space="preserve">zł </w:t>
            </w:r>
          </w:p>
        </w:tc>
        <w:tc>
          <w:tcPr>
            <w:tcW w:w="15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Stawka bonifikaty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2"/>
          <w:trHeight w:hRule="auto" w:val="0"/>
        </w:trPr>
        <w:tc>
          <w:tcPr>
            <w:tcW w:w="63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Ulica</w:t>
            </w:r>
          </w:p>
        </w:tc>
        <w:tc>
          <w:tcPr>
            <w:tcW w:w="109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Nr budynku</w:t>
            </w:r>
          </w:p>
        </w:tc>
        <w:tc>
          <w:tcPr>
            <w:tcW w:w="9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Nr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lokalu</w:t>
            </w:r>
          </w:p>
        </w:tc>
        <w:tc>
          <w:tcPr>
            <w:tcW w:w="11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 xml:space="preserve">Pow. użytk. 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superscript"/>
              </w:rPr>
              <w:t>2</w:t>
            </w:r>
          </w:p>
        </w:tc>
        <w:tc>
          <w:tcPr>
            <w:tcW w:w="9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Nr działki</w:t>
            </w:r>
          </w:p>
        </w:tc>
        <w:tc>
          <w:tcPr>
            <w:tcW w:w="88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Nr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obrębu</w:t>
            </w:r>
          </w:p>
        </w:tc>
        <w:tc>
          <w:tcPr>
            <w:tcW w:w="100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</w:p>
        </w:tc>
        <w:tc>
          <w:tcPr>
            <w:tcW w:w="199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Nr KW</w:t>
            </w:r>
          </w:p>
        </w:tc>
        <w:tc>
          <w:tcPr>
            <w:tcW w:w="184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1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2"/>
          <w:trHeight w:val="41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1.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Malborska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43,8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45/14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0,0218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39974/3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108.100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80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2"/>
          <w:trHeight w:val="41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2.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Krótka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4b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38,8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182/1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0,0764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30149/8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112.700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80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2"/>
          <w:trHeight w:val="41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3.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Kosynierów Gdyńskich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26,3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164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16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0,0638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26632/0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79.100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75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gridAfter w:val="1"/>
          <w:trHeight w:hRule="auto" w:val="0"/>
        </w:trPr>
        <w:tc>
          <w:tcPr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670" w:type="dxa"/>
            <w:gridSpan w:val="13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4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* Osoby,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których mowa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art.34 ust.1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gospodarce nieruchomościami nabywają nieruchomość za cenę określoną na podstawie art.67 ust.3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 xml:space="preserve">gospodarce nieruchomościami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670" w:type="dxa"/>
            <w:gridSpan w:val="13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Pierwszeństwo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nabyciu nieruchomości określonych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powyższym wykazie dotyczy osób, którym przysługuje roszczenie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nabycie nieruchomości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mocy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gospodarce nieruchomościami lub odrębnych przepisów, jeżeli złożą wniosek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jej nabycie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terminie 6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 xml:space="preserve">tygodni, licząc od dnia wywieszenia wykazu.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670" w:type="dxa"/>
            <w:gridSpan w:val="13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Sporządziła: Inspektor Beata Kunc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176/2019 z dnia 2 kwietnia 2019 r.</dc:title>
  <dc:subject>w sprawie sporządzenia i^ogłoszenia wykazu lokali mieszkalnych przeznaczonych do sprzedaży na rzecz najemców oraz udzielenia bonifikat od ceny sprzedaży lokali.</dc:subject>
  <dc:creator>bekun</dc:creator>
  <cp:lastModifiedBy>bekun</cp:lastModifiedBy>
  <cp:revision>1</cp:revision>
  <dcterms:created xsi:type="dcterms:W3CDTF">2019-04-03T14:50:41Z</dcterms:created>
  <dcterms:modified xsi:type="dcterms:W3CDTF">2019-04-03T14:50:41Z</dcterms:modified>
  <cp:category>Akt prawny</cp:category>
</cp:coreProperties>
</file>