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C2D32">
      <w:pPr>
        <w:jc w:val="center"/>
        <w:rPr>
          <w:b/>
          <w:caps/>
        </w:rPr>
      </w:pPr>
      <w:r>
        <w:rPr>
          <w:b/>
          <w:caps/>
        </w:rPr>
        <w:t>Zarządzenie Nr 165/2019</w:t>
      </w:r>
      <w:r>
        <w:rPr>
          <w:b/>
          <w:caps/>
        </w:rPr>
        <w:br/>
        <w:t>Prezydenta Miasta Elbląg</w:t>
      </w:r>
    </w:p>
    <w:p w:rsidR="00A77B3E" w:rsidRDefault="00FC2D32">
      <w:pPr>
        <w:spacing w:before="280" w:after="280"/>
        <w:jc w:val="center"/>
        <w:rPr>
          <w:b/>
          <w:caps/>
        </w:rPr>
      </w:pPr>
      <w:r>
        <w:t>z dnia 02 kwietnia</w:t>
      </w:r>
      <w:r>
        <w:t> 2019 r.</w:t>
      </w:r>
    </w:p>
    <w:p w:rsidR="00A77B3E" w:rsidRDefault="00FC2D32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FC2D32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FC2D32">
      <w:pPr>
        <w:spacing w:before="120" w:after="120"/>
        <w:jc w:val="center"/>
      </w:pPr>
      <w:r>
        <w:t>zarządza się, co następuje: 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załączniku do Zarządzenia nr 94/2019 Prezydenta Miasta Elbląg z dnia 6 marca 2019 r. dokonuje się sprostowania omyłki pisarskiej: w p</w:t>
      </w:r>
      <w:r>
        <w:rPr>
          <w:color w:val="000000"/>
          <w:u w:color="000000"/>
        </w:rPr>
        <w:t>oz. 4, skreśla się stawkę bonifikaty 85 %, a w to miejsce wpisuje się stawkę bonifikaty 90%.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FC2D3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FC2D32" w:rsidRDefault="00FC2D32">
      <w:pPr>
        <w:keepLines/>
        <w:spacing w:before="120" w:after="120"/>
        <w:rPr>
          <w:color w:val="000000"/>
          <w:u w:color="000000"/>
        </w:rPr>
        <w:sectPr w:rsidR="00FC2D3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FC2D32">
      <w:pPr>
        <w:keepNext/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</w:t>
      </w:r>
      <w:r>
        <w:rPr>
          <w:color w:val="000000"/>
          <w:u w:color="000000"/>
        </w:rPr>
        <w:t>Zarządzenia Nr 165/2019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02 kwietnia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FC2D32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własnoś</w:t>
      </w:r>
      <w:r>
        <w:rPr>
          <w:b/>
          <w:color w:val="000000"/>
          <w:u w:color="000000"/>
        </w:rPr>
        <w:t>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51648E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</w:t>
            </w:r>
          </w:p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 w %</w:t>
            </w:r>
          </w:p>
        </w:tc>
      </w:tr>
      <w:tr w:rsidR="0051648E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</w:t>
            </w:r>
          </w:p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w 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</w:p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Jarosława </w:t>
            </w:r>
            <w:r>
              <w:rPr>
                <w:color w:val="000000"/>
                <w:u w:color="000000"/>
              </w:rPr>
              <w:t>Dąbrowskiego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0,0485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EL1E/00035690/0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120.200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Artura Grottgera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0,0373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EL1E/00040921/7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85.200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Hetmańska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322/9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0,0578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EL1E/00033424/1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157.600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Tadeusza 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60,0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380/2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0,0920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EL1E/00098823/1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180.600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58,5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0,0379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EL1E/00031289/8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146.500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90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Teatralna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0,0898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EL1E/00030077/2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95.900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Topolowa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60,7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0,0721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EL1E/00033777/0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183.700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Stanisława Witkiewicza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28,3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0,0343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EL1E/00039423/6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75.400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51648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Stanisława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0,0164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EL1E/00032400/0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104.100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C2D3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51648E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</w:p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*Osoby, o których mowa w art.34 ust.1 ustawy o gospodarce nieruchomościami nabywają nieruchomość za cenę określoną na podstawie </w:t>
            </w:r>
            <w:r>
              <w:rPr>
                <w:color w:val="000000"/>
                <w:sz w:val="16"/>
                <w:u w:color="000000"/>
              </w:rPr>
              <w:t>art.67 ust.3 ustawy o gospodarce nieruchomościami </w:t>
            </w:r>
          </w:p>
        </w:tc>
      </w:tr>
      <w:tr w:rsidR="0051648E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</w:t>
            </w:r>
            <w:r>
              <w:rPr>
                <w:color w:val="000000"/>
                <w:sz w:val="16"/>
                <w:u w:color="000000"/>
              </w:rPr>
              <w:t>przepisów, jeżeli złożą wniosek o jej nabycie w terminie 6 tygodni, licząc od dnia wywieszenia wykazu. </w:t>
            </w:r>
          </w:p>
        </w:tc>
      </w:tr>
      <w:tr w:rsidR="0051648E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C2D32">
            <w:pPr>
              <w:jc w:val="left"/>
              <w:rPr>
                <w:color w:val="000000"/>
                <w:u w:color="000000"/>
              </w:rPr>
            </w:pPr>
          </w:p>
          <w:p w:rsidR="00A77B3E" w:rsidRDefault="00FC2D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FC2D32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1648E"/>
    <w:rsid w:val="0051648E"/>
    <w:rsid w:val="00FC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27C928-EDD4-4476-AFA9-6261CF892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2019-04-03T09:17:00Z</dcterms:created>
  <dcterms:modified xsi:type="dcterms:W3CDTF">2019-04-03T07:18:00Z</dcterms:modified>
  <cp:category>Akt prawny</cp:category>
</cp:coreProperties>
</file>