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F3870">
      <w:pPr>
        <w:jc w:val="center"/>
        <w:rPr>
          <w:b/>
          <w:caps/>
        </w:rPr>
      </w:pPr>
      <w:r>
        <w:rPr>
          <w:b/>
          <w:caps/>
        </w:rPr>
        <w:t>Zarządzenie Nr 172/2019</w:t>
      </w:r>
      <w:r>
        <w:rPr>
          <w:b/>
          <w:caps/>
        </w:rPr>
        <w:br/>
        <w:t>Prezydenta Miasta Elbląg</w:t>
      </w:r>
    </w:p>
    <w:p w:rsidR="00A77B3E" w:rsidRDefault="001F3870">
      <w:pPr>
        <w:spacing w:before="280" w:after="280"/>
        <w:jc w:val="center"/>
        <w:rPr>
          <w:b/>
          <w:caps/>
        </w:rPr>
      </w:pPr>
      <w:r>
        <w:t>z dnia 2 kwietnia 2019 r.</w:t>
      </w:r>
    </w:p>
    <w:p w:rsidR="00A77B3E" w:rsidRDefault="001F387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1F3870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1F387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F38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1F387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</w:t>
      </w:r>
      <w:r>
        <w:rPr>
          <w:color w:val="000000"/>
          <w:u w:color="000000"/>
        </w:rPr>
        <w:t>egółowe warunki wynajęcia lub wydzierżawienia nieruchomości zostaną ustalone w umowach najmu lub dzierżawy.</w:t>
      </w:r>
    </w:p>
    <w:p w:rsidR="00A77B3E" w:rsidRDefault="001F38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1F387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</w:t>
      </w:r>
      <w:r>
        <w:rPr>
          <w:color w:val="000000"/>
          <w:u w:color="000000"/>
        </w:rPr>
        <w:t>homości, o którym mowa w ust. 1 podlega ogłoszeniu poprzez wywieszenie na tablicy ogłoszeń w siedzibie Urzędu Miejskiego na okres 21 dni oraz umieszczenie na stronach internetowych Urzędu Miejskiego w Elblągu, a ponadto informacja o jego wywieszeniu podana</w:t>
      </w:r>
      <w:r>
        <w:rPr>
          <w:color w:val="000000"/>
          <w:u w:color="000000"/>
        </w:rPr>
        <w:t xml:space="preserve"> zostanie do wiadomości publicznej poprzez ogłoszenie w prasie lokalnej.</w:t>
      </w:r>
    </w:p>
    <w:p w:rsidR="00A77B3E" w:rsidRDefault="001F38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1F38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1F3870" w:rsidRDefault="001F3870">
      <w:pPr>
        <w:keepLines/>
        <w:spacing w:before="120" w:after="120"/>
        <w:rPr>
          <w:color w:val="000000"/>
          <w:u w:color="000000"/>
        </w:rPr>
      </w:pPr>
    </w:p>
    <w:p w:rsidR="001F3870" w:rsidRDefault="001F3870">
      <w:pPr>
        <w:keepLines/>
        <w:spacing w:before="120" w:after="120"/>
        <w:rPr>
          <w:color w:val="000000"/>
          <w:u w:color="000000"/>
        </w:rPr>
        <w:sectPr w:rsidR="001F387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1F3870">
      <w:pPr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1F387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do </w:t>
      </w:r>
      <w:r>
        <w:rPr>
          <w:color w:val="000000"/>
          <w:u w:color="000000"/>
        </w:rPr>
        <w:t>Zarządzenia nr 172/2019</w:t>
      </w:r>
    </w:p>
    <w:p w:rsidR="00A77B3E" w:rsidRDefault="001F387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 kwietnia 2019 r.</w:t>
      </w:r>
    </w:p>
    <w:p w:rsidR="00A77B3E" w:rsidRDefault="001F387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852"/>
        <w:gridCol w:w="2021"/>
        <w:gridCol w:w="1255"/>
        <w:gridCol w:w="1515"/>
        <w:gridCol w:w="735"/>
        <w:gridCol w:w="2526"/>
        <w:gridCol w:w="2021"/>
        <w:gridCol w:w="1898"/>
      </w:tblGrid>
      <w:tr w:rsidR="00134CBC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całkowita</w:t>
            </w:r>
          </w:p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 w 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dzierżawy/najmu</w:t>
            </w:r>
          </w:p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</w:t>
            </w:r>
          </w:p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czynszu</w:t>
            </w:r>
          </w:p>
        </w:tc>
      </w:tr>
      <w:tr w:rsidR="00134CBC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</w:tr>
      <w:tr w:rsidR="00134CBC">
        <w:trPr>
          <w:trHeight w:val="5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Słoneczna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EL1E/00032717/5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108/13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0,2015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na cele mieszkaniowe wspólnoty mieszkaniowej przy ul. Słonecznej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514,00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1,23 zł/rok</w:t>
            </w:r>
          </w:p>
        </w:tc>
      </w:tr>
      <w:tr w:rsidR="00134CBC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pawilonem blaszanym nr 230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7,26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0,66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pawilonem blaszanym nr 277 na</w:t>
            </w:r>
            <w:r>
              <w:rPr>
                <w:color w:val="000000"/>
                <w:u w:color="000000"/>
              </w:rPr>
              <w:t xml:space="preserve">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0,66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pawilonem blaszanym nr 278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teren </w:t>
            </w:r>
            <w:r>
              <w:rPr>
                <w:color w:val="000000"/>
                <w:u w:color="000000"/>
              </w:rPr>
              <w:t>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0,66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pawilonem blaszanym nr 258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0,66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lastRenderedPageBreak/>
              <w:t>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 pawilonu blaszanego nr 249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14,64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 xml:space="preserve">/m-c </w:t>
            </w:r>
          </w:p>
        </w:tc>
      </w:tr>
      <w:tr w:rsidR="00134CBC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0,66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 pawilonu blaszanego nr 272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14,64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 xml:space="preserve">/m-c </w:t>
            </w:r>
          </w:p>
        </w:tc>
      </w:tr>
      <w:tr w:rsidR="00134CBC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0,66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pawilonu murowanego nr 38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 pawilonu blaszanego nr 47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29,28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 xml:space="preserve">/m-c </w:t>
            </w:r>
          </w:p>
        </w:tc>
      </w:tr>
      <w:tr w:rsidR="00134CBC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Pułkownika Stanisława Dąbka 105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1,2438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Dzierżawa gruntu pod pawilonem </w:t>
            </w:r>
            <w:r>
              <w:rPr>
                <w:color w:val="000000"/>
                <w:u w:color="000000"/>
              </w:rPr>
              <w:t>blaszanym nr 233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7,26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0,66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 pawilonu blaszanego nr 48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29,28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 xml:space="preserve">/m-c 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Aleja </w:t>
            </w:r>
            <w:r>
              <w:rPr>
                <w:color w:val="000000"/>
                <w:u w:color="000000"/>
              </w:rPr>
              <w:t>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 pawilonu blaszanego nr 65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29,28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Armii Krajowej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88/2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0,7497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 pawilonu blaszanego nr 74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29,28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Lotnicza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EL1E/00032437/8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2,93 zł/m²/m-c</w:t>
            </w:r>
          </w:p>
        </w:tc>
      </w:tr>
      <w:tr w:rsidR="00134CBC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Fabryczna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23/42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0,0741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17,79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2,93 zł/m²/m-c</w:t>
            </w:r>
          </w:p>
        </w:tc>
      </w:tr>
      <w:tr w:rsidR="00134CBC">
        <w:trPr>
          <w:trHeight w:val="61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lastRenderedPageBreak/>
              <w:t>16.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Warszawska</w:t>
            </w:r>
          </w:p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18-28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EL1E/00037990/7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134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0,8436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użytkowego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6,59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terenu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383,00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0,44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Świerkowa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EL1E/00031818/6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143/13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2,93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Stefana Okrzei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EL1E/00031412/0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122/1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1,10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Stefana Okrzei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EL1E/00031412/0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125/1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1,10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Brzeska 5-11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EL1E/00029457/0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użytkowego na działalność biblioteczną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107,70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4,11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Łęczycka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EL1E/00090854/1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1,1292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użytkowego na cele usługowe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15,54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6,59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Grunwaldzka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108/160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1,04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Zbyszka Godlewskiego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EL1E/00036821/5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265/3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lokalu użytkowego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13,02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29,28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Lubraniecka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EL1E/00031931/4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67/23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34,43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1,46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Juliusza Słowackiego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EL1E/00031240/3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842/2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0,2201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Najem pomieszczenia </w:t>
            </w:r>
            <w:r>
              <w:rPr>
                <w:color w:val="000000"/>
                <w:u w:color="000000"/>
              </w:rPr>
              <w:t>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7,79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1,46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134CBC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Grunwaldzka 1a, 3a, Widok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EL1E/00032719/9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481/2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0,8628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F387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12,20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</w:tbl>
    <w:p w:rsidR="00A77B3E" w:rsidRDefault="001F387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miesiąca płatny jest do dnia 10 każdego miesiąca. Czynsz </w:t>
      </w:r>
      <w:r>
        <w:rPr>
          <w:color w:val="000000"/>
          <w:u w:color="000000"/>
        </w:rPr>
        <w:t>określony w skali roku płatny jest do 31 marca każdego roku.</w:t>
      </w:r>
    </w:p>
    <w:p w:rsidR="00A77B3E" w:rsidRDefault="001F387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1F387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</w:t>
      </w:r>
      <w:r>
        <w:rPr>
          <w:color w:val="000000"/>
          <w:u w:color="000000"/>
        </w:rPr>
        <w:t xml:space="preserve">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CBC"/>
    <w:rsid w:val="00134CBC"/>
    <w:rsid w:val="001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69E6C4F-3D96-46D1-8669-6825CB09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172/2019 z dnia 2 kwietnia 2019 r.</dc:title>
  <dc:subject>w sprawie sporządzenia i^ogłoszenia wykazu nieruchomości
przeznaczonych do najmu lub dzierżawy</dc:subject>
  <dc:creator>karol</dc:creator>
  <cp:lastModifiedBy>Katarzyna Rolka</cp:lastModifiedBy>
  <cp:revision>2</cp:revision>
  <dcterms:created xsi:type="dcterms:W3CDTF">2019-04-04T08:22:00Z</dcterms:created>
  <dcterms:modified xsi:type="dcterms:W3CDTF">2019-04-04T08:22:00Z</dcterms:modified>
  <cp:category>Akt prawny</cp:category>
</cp:coreProperties>
</file>