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7FCA" w:rsidRPr="007F78F7" w:rsidRDefault="007F78F7" w:rsidP="007F78F7">
      <w:pPr>
        <w:jc w:val="center"/>
        <w:rPr>
          <w:b/>
        </w:rPr>
      </w:pPr>
      <w:r w:rsidRPr="007F78F7">
        <w:rPr>
          <w:b/>
        </w:rPr>
        <w:t>ZARZĄDZENIE NR………………………</w:t>
      </w:r>
    </w:p>
    <w:p w:rsidR="007F78F7" w:rsidRPr="007F78F7" w:rsidRDefault="009E40FC" w:rsidP="007F78F7">
      <w:pPr>
        <w:jc w:val="center"/>
        <w:rPr>
          <w:b/>
        </w:rPr>
      </w:pPr>
      <w:r>
        <w:rPr>
          <w:b/>
        </w:rPr>
        <w:t>PREZYDENTA MIASTA ELBLĄG</w:t>
      </w:r>
    </w:p>
    <w:p w:rsidR="007F78F7" w:rsidRDefault="007F78F7" w:rsidP="007F78F7">
      <w:pPr>
        <w:jc w:val="center"/>
        <w:rPr>
          <w:b/>
        </w:rPr>
      </w:pPr>
      <w:r w:rsidRPr="007F78F7">
        <w:rPr>
          <w:b/>
        </w:rPr>
        <w:t>z dnia ………………………………</w:t>
      </w:r>
    </w:p>
    <w:p w:rsidR="009D09B6" w:rsidRDefault="009D09B6" w:rsidP="007F78F7">
      <w:pPr>
        <w:jc w:val="center"/>
        <w:rPr>
          <w:b/>
        </w:rPr>
      </w:pPr>
      <w:r>
        <w:rPr>
          <w:b/>
        </w:rPr>
        <w:t>w sprawie oceny sytuacji ekonomiczno-finansowej Szpitala Miejskiego św. Jana Pawła II w Elblągu</w:t>
      </w:r>
    </w:p>
    <w:p w:rsidR="007F78F7" w:rsidRDefault="007F78F7" w:rsidP="007F78F7">
      <w:pPr>
        <w:jc w:val="both"/>
      </w:pPr>
    </w:p>
    <w:p w:rsidR="009D09B6" w:rsidRDefault="007F78F7" w:rsidP="007F78F7">
      <w:pPr>
        <w:spacing w:line="360" w:lineRule="auto"/>
        <w:jc w:val="both"/>
      </w:pPr>
      <w:r>
        <w:tab/>
        <w:t>Na podstawie art. 30 ust. 1 z dnia 8 marca 1990 roku o samorządzie gminnym (</w:t>
      </w:r>
      <w:proofErr w:type="spellStart"/>
      <w:r>
        <w:t>t.j</w:t>
      </w:r>
      <w:proofErr w:type="spellEnd"/>
      <w:r>
        <w:t xml:space="preserve">. Dz.U.               z 2016 poz. 446 z późn.zm.) w związku z art. 53a ust. 4 ustawy z dnia 15 kwietnia 2011 roku </w:t>
      </w:r>
      <w:r w:rsidR="009D09B6">
        <w:t xml:space="preserve">                      </w:t>
      </w:r>
      <w:r>
        <w:t>o działalności leczniczej (</w:t>
      </w:r>
      <w:proofErr w:type="spellStart"/>
      <w:r>
        <w:t>t.j</w:t>
      </w:r>
      <w:proofErr w:type="spellEnd"/>
      <w:r>
        <w:t xml:space="preserve">. Dz.U. z 2016 poz. 1638 z </w:t>
      </w:r>
      <w:proofErr w:type="spellStart"/>
      <w:r>
        <w:t>późn</w:t>
      </w:r>
      <w:proofErr w:type="spellEnd"/>
      <w:r>
        <w:t>. zm.) zarządzam, co następuje:</w:t>
      </w:r>
    </w:p>
    <w:p w:rsidR="00434BDE" w:rsidRDefault="00434BDE" w:rsidP="007F78F7">
      <w:pPr>
        <w:spacing w:line="360" w:lineRule="auto"/>
        <w:jc w:val="both"/>
      </w:pPr>
    </w:p>
    <w:p w:rsidR="009D09B6" w:rsidRDefault="009D09B6" w:rsidP="009D09B6">
      <w:pPr>
        <w:spacing w:line="360" w:lineRule="auto"/>
        <w:jc w:val="center"/>
        <w:rPr>
          <w:b/>
        </w:rPr>
      </w:pPr>
      <w:r>
        <w:rPr>
          <w:b/>
        </w:rPr>
        <w:t>§ 1.</w:t>
      </w:r>
    </w:p>
    <w:p w:rsidR="00434BDE" w:rsidRDefault="009D09B6" w:rsidP="009D09B6">
      <w:pPr>
        <w:spacing w:line="360" w:lineRule="auto"/>
        <w:jc w:val="both"/>
      </w:pPr>
      <w:r w:rsidRPr="009D09B6">
        <w:t xml:space="preserve">Pozytywnie oceniam </w:t>
      </w:r>
      <w:r>
        <w:t>sytuację ekonomiczno-finansową Szpitala Miejskiego św. Jana Pawła II                     w Elblągu stanowiącą załącznik do niniejszego zarządzenia.</w:t>
      </w:r>
    </w:p>
    <w:p w:rsidR="009D09B6" w:rsidRDefault="009D09B6" w:rsidP="009D09B6">
      <w:pPr>
        <w:spacing w:line="360" w:lineRule="auto"/>
        <w:jc w:val="center"/>
        <w:rPr>
          <w:b/>
        </w:rPr>
      </w:pPr>
      <w:r>
        <w:rPr>
          <w:b/>
        </w:rPr>
        <w:t>§ 2.</w:t>
      </w:r>
    </w:p>
    <w:p w:rsidR="00434BDE" w:rsidRPr="009D09B6" w:rsidRDefault="009D09B6" w:rsidP="009D09B6">
      <w:pPr>
        <w:spacing w:line="360" w:lineRule="auto"/>
        <w:jc w:val="both"/>
      </w:pPr>
      <w:r>
        <w:t>Wykonanie zarządzenia powierza się Dyrektorowi Szpitala Miejskiego św. Jana Pawła II w Elblągu</w:t>
      </w:r>
      <w:r w:rsidR="00434BDE">
        <w:t>.</w:t>
      </w:r>
    </w:p>
    <w:p w:rsidR="00434BDE" w:rsidRDefault="00434BDE" w:rsidP="00434BDE">
      <w:pPr>
        <w:spacing w:line="360" w:lineRule="auto"/>
        <w:jc w:val="center"/>
        <w:rPr>
          <w:b/>
        </w:rPr>
      </w:pPr>
      <w:r>
        <w:rPr>
          <w:b/>
        </w:rPr>
        <w:t>§ 3.</w:t>
      </w:r>
    </w:p>
    <w:p w:rsidR="00434BDE" w:rsidRDefault="00434BDE" w:rsidP="00434BDE">
      <w:pPr>
        <w:spacing w:line="360" w:lineRule="auto"/>
        <w:jc w:val="both"/>
      </w:pPr>
      <w:r>
        <w:t>Zarządzenie wchodzi w życie z dniem podpisania.</w:t>
      </w:r>
    </w:p>
    <w:p w:rsidR="00434BDE" w:rsidRDefault="00434BDE" w:rsidP="00434BDE">
      <w:pPr>
        <w:spacing w:line="360" w:lineRule="auto"/>
        <w:jc w:val="both"/>
      </w:pPr>
    </w:p>
    <w:p w:rsidR="00434BDE" w:rsidRDefault="00434BDE" w:rsidP="00434BDE">
      <w:pPr>
        <w:spacing w:line="360" w:lineRule="auto"/>
        <w:jc w:val="both"/>
      </w:pPr>
    </w:p>
    <w:p w:rsidR="00434BDE" w:rsidRDefault="00434BDE" w:rsidP="00434BDE">
      <w:pPr>
        <w:spacing w:line="360" w:lineRule="auto"/>
        <w:jc w:val="both"/>
      </w:pPr>
    </w:p>
    <w:p w:rsidR="00434BDE" w:rsidRDefault="00434BDE" w:rsidP="00434BDE">
      <w:pPr>
        <w:spacing w:line="360" w:lineRule="auto"/>
        <w:jc w:val="both"/>
      </w:pPr>
    </w:p>
    <w:p w:rsidR="00434BDE" w:rsidRDefault="00434BDE" w:rsidP="00434BDE">
      <w:pPr>
        <w:spacing w:line="360" w:lineRule="auto"/>
        <w:jc w:val="both"/>
      </w:pPr>
    </w:p>
    <w:p w:rsidR="00434BDE" w:rsidRDefault="00434BDE" w:rsidP="00434BDE">
      <w:pPr>
        <w:spacing w:line="360" w:lineRule="auto"/>
        <w:jc w:val="both"/>
      </w:pPr>
    </w:p>
    <w:p w:rsidR="00434BDE" w:rsidRDefault="00434BDE" w:rsidP="00434BDE">
      <w:pPr>
        <w:spacing w:line="360" w:lineRule="auto"/>
        <w:jc w:val="both"/>
      </w:pPr>
    </w:p>
    <w:p w:rsidR="00434BDE" w:rsidRDefault="00434BDE" w:rsidP="00434BDE">
      <w:pPr>
        <w:spacing w:line="360" w:lineRule="auto"/>
        <w:jc w:val="both"/>
      </w:pPr>
    </w:p>
    <w:p w:rsidR="00434BDE" w:rsidRDefault="00434BDE" w:rsidP="00434BDE">
      <w:pPr>
        <w:spacing w:line="360" w:lineRule="auto"/>
        <w:jc w:val="both"/>
      </w:pPr>
    </w:p>
    <w:p w:rsidR="00434BDE" w:rsidRDefault="00434BDE" w:rsidP="00434BDE">
      <w:pPr>
        <w:spacing w:line="360" w:lineRule="auto"/>
        <w:jc w:val="center"/>
        <w:rPr>
          <w:b/>
        </w:rPr>
      </w:pPr>
      <w:r w:rsidRPr="00434BDE">
        <w:rPr>
          <w:b/>
        </w:rPr>
        <w:lastRenderedPageBreak/>
        <w:t>Uzasadnienie</w:t>
      </w:r>
    </w:p>
    <w:p w:rsidR="00434BDE" w:rsidRDefault="00434BDE" w:rsidP="00434BDE">
      <w:pPr>
        <w:spacing w:line="360" w:lineRule="auto"/>
        <w:jc w:val="both"/>
      </w:pPr>
      <w:r>
        <w:tab/>
        <w:t xml:space="preserve">Na podstawie ustawy o działalności leczniczej kierownik samodzielnego publicznego zakładu opieki zdrowotnej zobowiązany jest do sporządzenia i przekazania </w:t>
      </w:r>
      <w:r w:rsidR="00EE6684">
        <w:t>raportu o sytuacji ekonomiczno-finansowej SP ZOZ-u.</w:t>
      </w:r>
      <w:r w:rsidR="009E40FC">
        <w:t xml:space="preserve"> </w:t>
      </w:r>
    </w:p>
    <w:p w:rsidR="009E40FC" w:rsidRPr="00434BDE" w:rsidRDefault="009E40FC" w:rsidP="00434BDE">
      <w:pPr>
        <w:spacing w:line="360" w:lineRule="auto"/>
        <w:jc w:val="both"/>
      </w:pPr>
      <w:r>
        <w:tab/>
        <w:t xml:space="preserve">Sporządzony przez kierownika samodzielnego publicznego zakładu opieki zdrowotnej raport stanowi podstawę do dokonania oceny sytuacji ekonomiczno-finansowej SP ZOZ-u przez jednostkę samorządu terytorialnego. </w:t>
      </w:r>
    </w:p>
    <w:p w:rsidR="00434BDE" w:rsidRDefault="00434BDE" w:rsidP="00434BDE">
      <w:pPr>
        <w:spacing w:line="360" w:lineRule="auto"/>
        <w:jc w:val="both"/>
      </w:pPr>
    </w:p>
    <w:p w:rsidR="00434BDE" w:rsidRDefault="00434BDE" w:rsidP="00434BDE">
      <w:pPr>
        <w:spacing w:line="360" w:lineRule="auto"/>
        <w:jc w:val="both"/>
      </w:pPr>
    </w:p>
    <w:p w:rsidR="00434BDE" w:rsidRDefault="00434BDE" w:rsidP="00434BDE">
      <w:pPr>
        <w:spacing w:line="360" w:lineRule="auto"/>
        <w:jc w:val="both"/>
      </w:pPr>
    </w:p>
    <w:p w:rsidR="00434BDE" w:rsidRPr="00434BDE" w:rsidRDefault="00434BDE" w:rsidP="00434BDE">
      <w:pPr>
        <w:spacing w:line="360" w:lineRule="auto"/>
        <w:jc w:val="both"/>
      </w:pPr>
    </w:p>
    <w:p w:rsidR="009D09B6" w:rsidRDefault="009D09B6" w:rsidP="009D09B6">
      <w:pPr>
        <w:spacing w:line="360" w:lineRule="auto"/>
        <w:jc w:val="center"/>
        <w:rPr>
          <w:b/>
        </w:rPr>
      </w:pPr>
    </w:p>
    <w:p w:rsidR="009E40FC" w:rsidRDefault="009E40FC" w:rsidP="009D09B6">
      <w:pPr>
        <w:spacing w:line="360" w:lineRule="auto"/>
        <w:jc w:val="center"/>
        <w:rPr>
          <w:b/>
        </w:rPr>
      </w:pPr>
    </w:p>
    <w:p w:rsidR="009E40FC" w:rsidRDefault="009E40FC" w:rsidP="009D09B6">
      <w:pPr>
        <w:spacing w:line="360" w:lineRule="auto"/>
        <w:jc w:val="center"/>
        <w:rPr>
          <w:b/>
        </w:rPr>
      </w:pPr>
    </w:p>
    <w:p w:rsidR="009E40FC" w:rsidRDefault="009E40FC" w:rsidP="009D09B6">
      <w:pPr>
        <w:spacing w:line="360" w:lineRule="auto"/>
        <w:jc w:val="center"/>
        <w:rPr>
          <w:b/>
        </w:rPr>
      </w:pPr>
    </w:p>
    <w:p w:rsidR="009E40FC" w:rsidRDefault="009E40FC" w:rsidP="009D09B6">
      <w:pPr>
        <w:spacing w:line="360" w:lineRule="auto"/>
        <w:jc w:val="center"/>
        <w:rPr>
          <w:b/>
        </w:rPr>
      </w:pPr>
    </w:p>
    <w:p w:rsidR="009E40FC" w:rsidRDefault="009E40FC" w:rsidP="009D09B6">
      <w:pPr>
        <w:spacing w:line="360" w:lineRule="auto"/>
        <w:jc w:val="center"/>
        <w:rPr>
          <w:b/>
        </w:rPr>
      </w:pPr>
    </w:p>
    <w:p w:rsidR="009E40FC" w:rsidRDefault="009E40FC" w:rsidP="009D09B6">
      <w:pPr>
        <w:spacing w:line="360" w:lineRule="auto"/>
        <w:jc w:val="center"/>
        <w:rPr>
          <w:b/>
        </w:rPr>
      </w:pPr>
    </w:p>
    <w:p w:rsidR="009E40FC" w:rsidRDefault="009E40FC" w:rsidP="009D09B6">
      <w:pPr>
        <w:spacing w:line="360" w:lineRule="auto"/>
        <w:jc w:val="center"/>
        <w:rPr>
          <w:b/>
        </w:rPr>
      </w:pPr>
    </w:p>
    <w:p w:rsidR="009E40FC" w:rsidRDefault="009E40FC" w:rsidP="009D09B6">
      <w:pPr>
        <w:spacing w:line="360" w:lineRule="auto"/>
        <w:jc w:val="center"/>
        <w:rPr>
          <w:b/>
        </w:rPr>
      </w:pPr>
    </w:p>
    <w:p w:rsidR="009E40FC" w:rsidRDefault="009E40FC" w:rsidP="009D09B6">
      <w:pPr>
        <w:spacing w:line="360" w:lineRule="auto"/>
        <w:jc w:val="center"/>
        <w:rPr>
          <w:b/>
        </w:rPr>
      </w:pPr>
    </w:p>
    <w:p w:rsidR="009E40FC" w:rsidRDefault="009E40FC" w:rsidP="009D09B6">
      <w:pPr>
        <w:spacing w:line="360" w:lineRule="auto"/>
        <w:jc w:val="center"/>
        <w:rPr>
          <w:b/>
        </w:rPr>
      </w:pPr>
    </w:p>
    <w:p w:rsidR="009E40FC" w:rsidRDefault="009E40FC" w:rsidP="009D09B6">
      <w:pPr>
        <w:spacing w:line="360" w:lineRule="auto"/>
        <w:jc w:val="center"/>
        <w:rPr>
          <w:b/>
        </w:rPr>
      </w:pPr>
    </w:p>
    <w:p w:rsidR="009E40FC" w:rsidRDefault="009E40FC" w:rsidP="009D09B6">
      <w:pPr>
        <w:spacing w:line="360" w:lineRule="auto"/>
        <w:jc w:val="center"/>
        <w:rPr>
          <w:b/>
        </w:rPr>
      </w:pPr>
    </w:p>
    <w:p w:rsidR="009E40FC" w:rsidRDefault="009E40FC" w:rsidP="009D09B6">
      <w:pPr>
        <w:spacing w:line="360" w:lineRule="auto"/>
        <w:jc w:val="center"/>
        <w:rPr>
          <w:b/>
        </w:rPr>
      </w:pPr>
    </w:p>
    <w:p w:rsidR="009E40FC" w:rsidRPr="009E40FC" w:rsidRDefault="009E40FC" w:rsidP="009E40FC">
      <w:pPr>
        <w:spacing w:line="240" w:lineRule="auto"/>
        <w:contextualSpacing/>
        <w:jc w:val="center"/>
      </w:pPr>
      <w:r>
        <w:rPr>
          <w:b/>
        </w:rPr>
        <w:lastRenderedPageBreak/>
        <w:tab/>
      </w:r>
      <w:r>
        <w:rPr>
          <w:b/>
        </w:rPr>
        <w:tab/>
      </w:r>
      <w:r>
        <w:rPr>
          <w:b/>
        </w:rPr>
        <w:tab/>
      </w:r>
      <w:r>
        <w:rPr>
          <w:b/>
        </w:rPr>
        <w:tab/>
      </w:r>
      <w:r>
        <w:rPr>
          <w:b/>
        </w:rPr>
        <w:tab/>
      </w:r>
      <w:r>
        <w:rPr>
          <w:b/>
        </w:rPr>
        <w:tab/>
      </w:r>
      <w:r>
        <w:t>Załącznik do Z</w:t>
      </w:r>
      <w:r w:rsidRPr="009E40FC">
        <w:t>arządzenia Nr ………………</w:t>
      </w:r>
      <w:r>
        <w:t>…</w:t>
      </w:r>
    </w:p>
    <w:p w:rsidR="009E40FC" w:rsidRPr="009E40FC" w:rsidRDefault="009E40FC" w:rsidP="009E40FC">
      <w:pPr>
        <w:spacing w:line="240" w:lineRule="auto"/>
        <w:ind w:left="2124" w:firstLine="708"/>
        <w:contextualSpacing/>
        <w:jc w:val="center"/>
      </w:pPr>
      <w:r w:rsidRPr="009E40FC">
        <w:t>Prezydenta Miasta Elbląg</w:t>
      </w:r>
    </w:p>
    <w:p w:rsidR="009E40FC" w:rsidRDefault="009E40FC" w:rsidP="009E40FC">
      <w:pPr>
        <w:spacing w:line="240" w:lineRule="auto"/>
        <w:ind w:left="2124"/>
        <w:contextualSpacing/>
        <w:jc w:val="center"/>
      </w:pPr>
      <w:r>
        <w:t xml:space="preserve">                     z</w:t>
      </w:r>
      <w:r w:rsidRPr="009E40FC">
        <w:t xml:space="preserve"> dnia ………………………</w:t>
      </w:r>
      <w:r>
        <w:t>…………..</w:t>
      </w:r>
    </w:p>
    <w:p w:rsidR="009E40FC" w:rsidRPr="00FE692E" w:rsidRDefault="009E40FC" w:rsidP="009E40FC">
      <w:pPr>
        <w:spacing w:line="360" w:lineRule="auto"/>
        <w:contextualSpacing/>
        <w:jc w:val="center"/>
        <w:rPr>
          <w:b/>
          <w:sz w:val="28"/>
          <w:szCs w:val="28"/>
        </w:rPr>
      </w:pPr>
      <w:r w:rsidRPr="00FE692E">
        <w:rPr>
          <w:b/>
          <w:sz w:val="28"/>
          <w:szCs w:val="28"/>
        </w:rPr>
        <w:t xml:space="preserve">Ocena sytuacji ekonomiczno-finansowej             </w:t>
      </w:r>
    </w:p>
    <w:p w:rsidR="009E40FC" w:rsidRPr="00FE692E" w:rsidRDefault="009E40FC" w:rsidP="009E40FC">
      <w:pPr>
        <w:spacing w:line="360" w:lineRule="auto"/>
        <w:contextualSpacing/>
        <w:jc w:val="center"/>
        <w:rPr>
          <w:b/>
          <w:sz w:val="28"/>
          <w:szCs w:val="28"/>
        </w:rPr>
      </w:pPr>
      <w:r w:rsidRPr="00FE692E">
        <w:rPr>
          <w:b/>
          <w:sz w:val="28"/>
          <w:szCs w:val="28"/>
        </w:rPr>
        <w:t>samodzielnego publicznego zakładu opieki zdrowotnej</w:t>
      </w:r>
    </w:p>
    <w:p w:rsidR="009E40FC" w:rsidRPr="005F410D" w:rsidRDefault="009E40FC" w:rsidP="009E40FC">
      <w:pPr>
        <w:spacing w:line="360" w:lineRule="auto"/>
        <w:contextualSpacing/>
        <w:jc w:val="center"/>
        <w:rPr>
          <w:b/>
          <w:sz w:val="28"/>
          <w:szCs w:val="28"/>
        </w:rPr>
      </w:pPr>
      <w:r w:rsidRPr="005F410D">
        <w:rPr>
          <w:b/>
          <w:sz w:val="28"/>
          <w:szCs w:val="28"/>
        </w:rPr>
        <w:t>Szpital Miejski św. Jana Pawła II w Elblągu, ul. Komeńskiego 35</w:t>
      </w:r>
    </w:p>
    <w:p w:rsidR="009E40FC" w:rsidRDefault="009E40FC" w:rsidP="009E40FC">
      <w:pPr>
        <w:pStyle w:val="Akapitzlist"/>
        <w:numPr>
          <w:ilvl w:val="0"/>
          <w:numId w:val="1"/>
        </w:numPr>
        <w:jc w:val="both"/>
        <w:rPr>
          <w:b/>
        </w:rPr>
      </w:pPr>
      <w:r w:rsidRPr="00ED47B5">
        <w:rPr>
          <w:b/>
        </w:rPr>
        <w:t>Ocena formalna</w:t>
      </w:r>
    </w:p>
    <w:p w:rsidR="009E40FC" w:rsidRDefault="00CF2498" w:rsidP="009E40FC">
      <w:pPr>
        <w:spacing w:line="360" w:lineRule="auto"/>
        <w:ind w:left="360"/>
        <w:jc w:val="both"/>
      </w:pPr>
      <w:r>
        <w:t>Zgodnie z art. 53a ust. 4</w:t>
      </w:r>
      <w:r w:rsidR="009E40FC">
        <w:t xml:space="preserve"> ustawy z dnia 15 kwietnia 2011r. o działalności  leczniczej (Dz. </w:t>
      </w:r>
      <w:r>
        <w:t>U. z 2016r. poz. 1638 późn.zm.</w:t>
      </w:r>
      <w:r w:rsidR="009E40FC">
        <w:t xml:space="preserve">) oraz z Rozporządzeniem Ministra Zdrowia z dnia 12 kwietnia 2017r. w sprawie wskaźników ekonomiczno – finansowych niezbędnych do sporządzenia analizy oraz prognozy sytuacji ekonomiczno – finansowej samodzielnych publicznych zakładów opieki zdrowotnej SPSZOZ sporządza analizę sytuacji ekonomiczno – finansowej. </w:t>
      </w:r>
    </w:p>
    <w:p w:rsidR="009E40FC" w:rsidRPr="00C97F6A" w:rsidRDefault="009E40FC" w:rsidP="009E40FC">
      <w:pPr>
        <w:spacing w:line="360" w:lineRule="auto"/>
        <w:ind w:left="360"/>
        <w:jc w:val="both"/>
      </w:pPr>
      <w:r w:rsidRPr="00F04D8D">
        <w:t>Szpital Miejski św. Jana Pawła II w Elblągu</w:t>
      </w:r>
      <w:r>
        <w:t xml:space="preserve"> raport o </w:t>
      </w:r>
      <w:r w:rsidRPr="00C97F6A">
        <w:t xml:space="preserve">sytuacji </w:t>
      </w:r>
      <w:r>
        <w:t>ekonomiczno – finansowej za rok 2016 sporządził zgodnie z wymogami formalnymi. Zaprezentowane w raporcie wskaźniki: zyskowności,  płynności finansowej,  efektywności zarządzania przepływami finansowymi, zadłużenia jednostki zostały poprawnie skalkulowane.</w:t>
      </w:r>
    </w:p>
    <w:p w:rsidR="009E40FC" w:rsidRDefault="009E40FC" w:rsidP="009E40FC">
      <w:pPr>
        <w:spacing w:line="360" w:lineRule="auto"/>
        <w:ind w:left="360"/>
        <w:jc w:val="both"/>
      </w:pPr>
      <w:r>
        <w:t>Ponadto raport ten uwzględnia wszystkie obowiązkowe elementy, wobec powyższego stwierdza się kompletność danych przedstawionych w raporcie.</w:t>
      </w:r>
    </w:p>
    <w:p w:rsidR="009E40FC" w:rsidRDefault="009E40FC" w:rsidP="009E40FC">
      <w:pPr>
        <w:pStyle w:val="Akapitzlist"/>
        <w:numPr>
          <w:ilvl w:val="0"/>
          <w:numId w:val="1"/>
        </w:numPr>
        <w:spacing w:line="240" w:lineRule="auto"/>
        <w:jc w:val="both"/>
        <w:rPr>
          <w:b/>
        </w:rPr>
      </w:pPr>
      <w:r>
        <w:rPr>
          <w:b/>
        </w:rPr>
        <w:t>Ocena merytoryczna</w:t>
      </w:r>
    </w:p>
    <w:p w:rsidR="009E40FC" w:rsidRDefault="009E40FC" w:rsidP="009E40FC">
      <w:pPr>
        <w:spacing w:line="240" w:lineRule="auto"/>
        <w:jc w:val="both"/>
        <w:rPr>
          <w:b/>
          <w:sz w:val="24"/>
          <w:szCs w:val="24"/>
          <w:u w:val="single"/>
        </w:rPr>
      </w:pPr>
      <w:r w:rsidRPr="00604F5E">
        <w:rPr>
          <w:b/>
          <w:sz w:val="24"/>
          <w:szCs w:val="24"/>
          <w:u w:val="single"/>
        </w:rPr>
        <w:t>Punktowa</w:t>
      </w:r>
    </w:p>
    <w:tbl>
      <w:tblPr>
        <w:tblW w:w="9513" w:type="dxa"/>
        <w:tblInd w:w="55" w:type="dxa"/>
        <w:tblLayout w:type="fixed"/>
        <w:tblCellMar>
          <w:left w:w="70" w:type="dxa"/>
          <w:right w:w="70" w:type="dxa"/>
        </w:tblCellMar>
        <w:tblLook w:val="04A0" w:firstRow="1" w:lastRow="0" w:firstColumn="1" w:lastColumn="0" w:noHBand="0" w:noVBand="1"/>
      </w:tblPr>
      <w:tblGrid>
        <w:gridCol w:w="1716"/>
        <w:gridCol w:w="3119"/>
        <w:gridCol w:w="1559"/>
        <w:gridCol w:w="1559"/>
        <w:gridCol w:w="1560"/>
      </w:tblGrid>
      <w:tr w:rsidR="009E40FC" w:rsidRPr="00CB2E0F" w:rsidTr="00CF2498">
        <w:trPr>
          <w:trHeight w:val="330"/>
        </w:trPr>
        <w:tc>
          <w:tcPr>
            <w:tcW w:w="1716" w:type="dxa"/>
            <w:vMerge w:val="restart"/>
            <w:tcBorders>
              <w:top w:val="single" w:sz="4" w:space="0" w:color="auto"/>
              <w:left w:val="single" w:sz="8" w:space="0" w:color="auto"/>
              <w:bottom w:val="single" w:sz="8" w:space="0" w:color="000000"/>
              <w:right w:val="single" w:sz="8" w:space="0" w:color="auto"/>
            </w:tcBorders>
            <w:shd w:val="clear" w:color="auto" w:fill="FFFFFF" w:themeFill="background1"/>
            <w:noWrap/>
            <w:vAlign w:val="center"/>
            <w:hideMark/>
          </w:tcPr>
          <w:p w:rsidR="009E40FC" w:rsidRPr="00E620E0" w:rsidRDefault="009E40FC" w:rsidP="00AA4E0E">
            <w:pPr>
              <w:spacing w:after="0" w:line="240" w:lineRule="auto"/>
              <w:jc w:val="center"/>
              <w:rPr>
                <w:rFonts w:ascii="Garamond" w:eastAsia="Times New Roman" w:hAnsi="Garamond" w:cs="Arial"/>
                <w:b/>
                <w:sz w:val="20"/>
                <w:szCs w:val="20"/>
              </w:rPr>
            </w:pPr>
            <w:r w:rsidRPr="00E620E0">
              <w:rPr>
                <w:rFonts w:ascii="Garamond" w:eastAsia="Times New Roman" w:hAnsi="Garamond" w:cs="Arial"/>
                <w:b/>
                <w:sz w:val="20"/>
                <w:szCs w:val="20"/>
              </w:rPr>
              <w:t>Grupa</w:t>
            </w:r>
          </w:p>
        </w:tc>
        <w:tc>
          <w:tcPr>
            <w:tcW w:w="3119" w:type="dxa"/>
            <w:vMerge w:val="restart"/>
            <w:tcBorders>
              <w:top w:val="single" w:sz="4" w:space="0" w:color="auto"/>
              <w:left w:val="single" w:sz="8" w:space="0" w:color="auto"/>
              <w:bottom w:val="single" w:sz="8" w:space="0" w:color="000000"/>
              <w:right w:val="nil"/>
            </w:tcBorders>
            <w:shd w:val="clear" w:color="auto" w:fill="FFFFFF" w:themeFill="background1"/>
            <w:vAlign w:val="center"/>
            <w:hideMark/>
          </w:tcPr>
          <w:p w:rsidR="009E40FC" w:rsidRPr="00E620E0" w:rsidRDefault="009E40FC" w:rsidP="00AA4E0E">
            <w:pPr>
              <w:spacing w:after="0" w:line="240" w:lineRule="auto"/>
              <w:jc w:val="center"/>
              <w:rPr>
                <w:rFonts w:ascii="Garamond" w:eastAsia="Times New Roman" w:hAnsi="Garamond" w:cs="Arial"/>
                <w:b/>
              </w:rPr>
            </w:pPr>
            <w:r w:rsidRPr="00E620E0">
              <w:rPr>
                <w:rFonts w:ascii="Garamond" w:eastAsia="Times New Roman" w:hAnsi="Garamond" w:cs="Arial"/>
                <w:b/>
              </w:rPr>
              <w:t>Wskaźniki</w:t>
            </w:r>
          </w:p>
        </w:tc>
        <w:tc>
          <w:tcPr>
            <w:tcW w:w="1559" w:type="dxa"/>
            <w:tcBorders>
              <w:top w:val="single" w:sz="8" w:space="0" w:color="auto"/>
              <w:left w:val="single" w:sz="8" w:space="0" w:color="auto"/>
              <w:right w:val="single" w:sz="4" w:space="0" w:color="auto"/>
            </w:tcBorders>
            <w:shd w:val="clear" w:color="auto" w:fill="FFFFFF" w:themeFill="background1"/>
            <w:vAlign w:val="center"/>
            <w:hideMark/>
          </w:tcPr>
          <w:p w:rsidR="009E40FC" w:rsidRPr="00CB2E0F" w:rsidRDefault="009E40FC" w:rsidP="00AA4E0E">
            <w:pPr>
              <w:spacing w:after="0" w:line="240" w:lineRule="auto"/>
              <w:jc w:val="center"/>
              <w:rPr>
                <w:rFonts w:ascii="Garamond" w:eastAsia="Times New Roman" w:hAnsi="Garamond" w:cs="Arial"/>
                <w:b/>
                <w:bCs/>
                <w:sz w:val="18"/>
                <w:szCs w:val="18"/>
              </w:rPr>
            </w:pPr>
          </w:p>
        </w:tc>
        <w:tc>
          <w:tcPr>
            <w:tcW w:w="1559" w:type="dxa"/>
            <w:tcBorders>
              <w:top w:val="single" w:sz="8" w:space="0" w:color="auto"/>
              <w:left w:val="single" w:sz="4" w:space="0" w:color="auto"/>
              <w:right w:val="single" w:sz="4" w:space="0" w:color="auto"/>
            </w:tcBorders>
            <w:shd w:val="clear" w:color="auto" w:fill="FFFFFF" w:themeFill="background1"/>
            <w:vAlign w:val="center"/>
          </w:tcPr>
          <w:p w:rsidR="009E40FC" w:rsidRPr="00CB2E0F" w:rsidRDefault="009E40FC" w:rsidP="00AA4E0E">
            <w:pPr>
              <w:spacing w:after="0" w:line="240" w:lineRule="auto"/>
              <w:jc w:val="center"/>
              <w:rPr>
                <w:rFonts w:ascii="Garamond" w:eastAsia="Times New Roman" w:hAnsi="Garamond" w:cs="Arial"/>
                <w:b/>
                <w:bCs/>
                <w:sz w:val="18"/>
                <w:szCs w:val="18"/>
              </w:rPr>
            </w:pPr>
          </w:p>
        </w:tc>
        <w:tc>
          <w:tcPr>
            <w:tcW w:w="1560" w:type="dxa"/>
            <w:vMerge w:val="restart"/>
            <w:tcBorders>
              <w:top w:val="single" w:sz="8" w:space="0" w:color="auto"/>
              <w:left w:val="single" w:sz="4" w:space="0" w:color="auto"/>
              <w:right w:val="single" w:sz="8" w:space="0" w:color="000000"/>
            </w:tcBorders>
            <w:shd w:val="clear" w:color="auto" w:fill="FFFFFF" w:themeFill="background1"/>
            <w:vAlign w:val="center"/>
          </w:tcPr>
          <w:p w:rsidR="009E40FC" w:rsidRDefault="009E40FC" w:rsidP="00AA4E0E">
            <w:pPr>
              <w:spacing w:after="0" w:line="240" w:lineRule="auto"/>
              <w:jc w:val="center"/>
              <w:rPr>
                <w:rFonts w:ascii="Garamond" w:eastAsia="Times New Roman" w:hAnsi="Garamond" w:cs="Arial"/>
                <w:b/>
                <w:bCs/>
                <w:sz w:val="18"/>
                <w:szCs w:val="18"/>
              </w:rPr>
            </w:pPr>
          </w:p>
          <w:p w:rsidR="009E40FC" w:rsidRPr="00CB2E0F" w:rsidRDefault="009E40FC" w:rsidP="00AA4E0E">
            <w:pPr>
              <w:spacing w:after="0" w:line="240" w:lineRule="auto"/>
              <w:jc w:val="center"/>
              <w:rPr>
                <w:rFonts w:ascii="Garamond" w:eastAsia="Times New Roman" w:hAnsi="Garamond" w:cs="Arial"/>
                <w:b/>
                <w:bCs/>
                <w:sz w:val="18"/>
                <w:szCs w:val="18"/>
              </w:rPr>
            </w:pPr>
            <w:r>
              <w:rPr>
                <w:rFonts w:ascii="Garamond" w:eastAsia="Times New Roman" w:hAnsi="Garamond" w:cs="Arial"/>
                <w:b/>
                <w:bCs/>
                <w:sz w:val="18"/>
                <w:szCs w:val="18"/>
              </w:rPr>
              <w:t>Maksymalna ilość punktów do uzyskania zgodnie z Rozporządzeniem Ministra Zdrowia</w:t>
            </w:r>
          </w:p>
        </w:tc>
      </w:tr>
      <w:tr w:rsidR="009E40FC" w:rsidRPr="00CB2E0F" w:rsidTr="00CF2498">
        <w:trPr>
          <w:trHeight w:val="540"/>
        </w:trPr>
        <w:tc>
          <w:tcPr>
            <w:tcW w:w="1716" w:type="dxa"/>
            <w:vMerge/>
            <w:tcBorders>
              <w:top w:val="nil"/>
              <w:left w:val="single" w:sz="8" w:space="0" w:color="auto"/>
              <w:bottom w:val="single" w:sz="8" w:space="0" w:color="000000"/>
              <w:right w:val="single" w:sz="8" w:space="0" w:color="auto"/>
            </w:tcBorders>
            <w:vAlign w:val="center"/>
            <w:hideMark/>
          </w:tcPr>
          <w:p w:rsidR="009E40FC" w:rsidRPr="00CB2E0F" w:rsidRDefault="009E40FC" w:rsidP="00AA4E0E">
            <w:pPr>
              <w:spacing w:after="0" w:line="240" w:lineRule="auto"/>
              <w:rPr>
                <w:rFonts w:ascii="Garamond" w:eastAsia="Times New Roman" w:hAnsi="Garamond" w:cs="Arial"/>
                <w:sz w:val="20"/>
                <w:szCs w:val="20"/>
              </w:rPr>
            </w:pPr>
          </w:p>
        </w:tc>
        <w:tc>
          <w:tcPr>
            <w:tcW w:w="3119" w:type="dxa"/>
            <w:vMerge/>
            <w:tcBorders>
              <w:top w:val="nil"/>
              <w:left w:val="single" w:sz="8" w:space="0" w:color="auto"/>
              <w:bottom w:val="single" w:sz="8" w:space="0" w:color="000000"/>
              <w:right w:val="nil"/>
            </w:tcBorders>
            <w:vAlign w:val="center"/>
            <w:hideMark/>
          </w:tcPr>
          <w:p w:rsidR="009E40FC" w:rsidRPr="00CB2E0F" w:rsidRDefault="009E40FC" w:rsidP="00AA4E0E">
            <w:pPr>
              <w:spacing w:after="0" w:line="240" w:lineRule="auto"/>
              <w:rPr>
                <w:rFonts w:ascii="Garamond" w:eastAsia="Times New Roman" w:hAnsi="Garamond" w:cs="Arial"/>
              </w:rPr>
            </w:pPr>
          </w:p>
        </w:tc>
        <w:tc>
          <w:tcPr>
            <w:tcW w:w="1559" w:type="dxa"/>
            <w:tcBorders>
              <w:top w:val="nil"/>
              <w:left w:val="single" w:sz="8" w:space="0" w:color="auto"/>
              <w:bottom w:val="single" w:sz="8" w:space="0" w:color="auto"/>
              <w:right w:val="single" w:sz="4" w:space="0" w:color="auto"/>
            </w:tcBorders>
            <w:shd w:val="clear" w:color="auto" w:fill="FFFFFF" w:themeFill="background1"/>
            <w:vAlign w:val="center"/>
            <w:hideMark/>
          </w:tcPr>
          <w:p w:rsidR="009E40FC" w:rsidRPr="00CB2E0F" w:rsidRDefault="009E40FC" w:rsidP="00AA4E0E">
            <w:pPr>
              <w:spacing w:after="0" w:line="240" w:lineRule="auto"/>
              <w:jc w:val="center"/>
              <w:rPr>
                <w:rFonts w:ascii="Garamond" w:eastAsia="Times New Roman" w:hAnsi="Garamond" w:cs="Arial"/>
                <w:b/>
                <w:bCs/>
                <w:sz w:val="18"/>
                <w:szCs w:val="18"/>
              </w:rPr>
            </w:pPr>
            <w:r w:rsidRPr="00CB2E0F">
              <w:rPr>
                <w:rFonts w:ascii="Garamond" w:eastAsia="Times New Roman" w:hAnsi="Garamond" w:cs="Arial"/>
                <w:b/>
                <w:bCs/>
                <w:sz w:val="18"/>
                <w:szCs w:val="18"/>
              </w:rPr>
              <w:t>Wskaźnik</w:t>
            </w:r>
          </w:p>
        </w:tc>
        <w:tc>
          <w:tcPr>
            <w:tcW w:w="1559" w:type="dxa"/>
            <w:tcBorders>
              <w:top w:val="nil"/>
              <w:left w:val="nil"/>
              <w:bottom w:val="single" w:sz="8" w:space="0" w:color="auto"/>
              <w:right w:val="single" w:sz="4" w:space="0" w:color="auto"/>
            </w:tcBorders>
            <w:shd w:val="clear" w:color="auto" w:fill="FFFFFF" w:themeFill="background1"/>
            <w:vAlign w:val="center"/>
            <w:hideMark/>
          </w:tcPr>
          <w:p w:rsidR="009E40FC" w:rsidRDefault="009E40FC" w:rsidP="00AA4E0E">
            <w:pPr>
              <w:spacing w:after="0" w:line="240" w:lineRule="auto"/>
              <w:jc w:val="center"/>
              <w:rPr>
                <w:rFonts w:ascii="Garamond" w:eastAsia="Times New Roman" w:hAnsi="Garamond" w:cs="Arial"/>
                <w:b/>
                <w:bCs/>
                <w:sz w:val="18"/>
                <w:szCs w:val="18"/>
              </w:rPr>
            </w:pPr>
            <w:r w:rsidRPr="00CB2E0F">
              <w:rPr>
                <w:rFonts w:ascii="Garamond" w:eastAsia="Times New Roman" w:hAnsi="Garamond" w:cs="Arial"/>
                <w:b/>
                <w:bCs/>
                <w:sz w:val="18"/>
                <w:szCs w:val="18"/>
              </w:rPr>
              <w:t>Ilość punktów</w:t>
            </w:r>
          </w:p>
          <w:p w:rsidR="009E40FC" w:rsidRPr="00CB2E0F" w:rsidRDefault="009E40FC" w:rsidP="00AA4E0E">
            <w:pPr>
              <w:spacing w:after="0" w:line="240" w:lineRule="auto"/>
              <w:jc w:val="center"/>
              <w:rPr>
                <w:rFonts w:ascii="Garamond" w:eastAsia="Times New Roman" w:hAnsi="Garamond" w:cs="Arial"/>
                <w:b/>
                <w:bCs/>
                <w:sz w:val="18"/>
                <w:szCs w:val="18"/>
              </w:rPr>
            </w:pPr>
            <w:r>
              <w:rPr>
                <w:rFonts w:ascii="Garamond" w:eastAsia="Times New Roman" w:hAnsi="Garamond" w:cs="Arial"/>
                <w:b/>
                <w:bCs/>
                <w:sz w:val="18"/>
                <w:szCs w:val="18"/>
              </w:rPr>
              <w:t xml:space="preserve">uzyskanych przez </w:t>
            </w:r>
            <w:proofErr w:type="spellStart"/>
            <w:r>
              <w:rPr>
                <w:rFonts w:ascii="Garamond" w:eastAsia="Times New Roman" w:hAnsi="Garamond" w:cs="Arial"/>
                <w:b/>
                <w:bCs/>
                <w:sz w:val="18"/>
                <w:szCs w:val="18"/>
              </w:rPr>
              <w:t>spzoz</w:t>
            </w:r>
            <w:proofErr w:type="spellEnd"/>
          </w:p>
        </w:tc>
        <w:tc>
          <w:tcPr>
            <w:tcW w:w="1560" w:type="dxa"/>
            <w:vMerge/>
            <w:tcBorders>
              <w:left w:val="single" w:sz="4" w:space="0" w:color="auto"/>
              <w:bottom w:val="single" w:sz="8" w:space="0" w:color="auto"/>
              <w:right w:val="single" w:sz="8" w:space="0" w:color="000000"/>
            </w:tcBorders>
            <w:shd w:val="clear" w:color="000000" w:fill="FFCC00"/>
            <w:vAlign w:val="center"/>
          </w:tcPr>
          <w:p w:rsidR="009E40FC" w:rsidRPr="00CB2E0F" w:rsidRDefault="009E40FC" w:rsidP="00AA4E0E">
            <w:pPr>
              <w:spacing w:after="0" w:line="240" w:lineRule="auto"/>
              <w:rPr>
                <w:rFonts w:ascii="Garamond" w:eastAsia="Times New Roman" w:hAnsi="Garamond" w:cs="Arial"/>
                <w:b/>
                <w:bCs/>
                <w:sz w:val="18"/>
                <w:szCs w:val="18"/>
              </w:rPr>
            </w:pPr>
          </w:p>
        </w:tc>
      </w:tr>
      <w:tr w:rsidR="009E40FC" w:rsidRPr="00CB2E0F" w:rsidTr="00CF2498">
        <w:trPr>
          <w:trHeight w:val="720"/>
        </w:trPr>
        <w:tc>
          <w:tcPr>
            <w:tcW w:w="1716" w:type="dxa"/>
            <w:vMerge w:val="restart"/>
            <w:tcBorders>
              <w:top w:val="nil"/>
              <w:left w:val="single" w:sz="8" w:space="0" w:color="auto"/>
              <w:bottom w:val="single" w:sz="8" w:space="0" w:color="000000"/>
              <w:right w:val="single" w:sz="8" w:space="0" w:color="auto"/>
            </w:tcBorders>
            <w:shd w:val="clear" w:color="auto" w:fill="FFFFFF" w:themeFill="background1"/>
            <w:vAlign w:val="center"/>
            <w:hideMark/>
          </w:tcPr>
          <w:p w:rsidR="009E40FC" w:rsidRPr="00CB2E0F" w:rsidRDefault="009E40FC" w:rsidP="00AA4E0E">
            <w:pPr>
              <w:spacing w:after="0" w:line="240" w:lineRule="auto"/>
              <w:jc w:val="center"/>
              <w:rPr>
                <w:rFonts w:ascii="Garamond" w:eastAsia="Times New Roman" w:hAnsi="Garamond" w:cs="Arial"/>
                <w:b/>
                <w:bCs/>
                <w:sz w:val="20"/>
                <w:szCs w:val="20"/>
              </w:rPr>
            </w:pPr>
            <w:r w:rsidRPr="00CB2E0F">
              <w:rPr>
                <w:rFonts w:ascii="Garamond" w:eastAsia="Times New Roman" w:hAnsi="Garamond" w:cs="Arial"/>
                <w:b/>
                <w:bCs/>
                <w:sz w:val="20"/>
                <w:szCs w:val="20"/>
              </w:rPr>
              <w:t>WSKAŹNIKI ZYSKOWNOŚCI</w:t>
            </w:r>
          </w:p>
        </w:tc>
        <w:tc>
          <w:tcPr>
            <w:tcW w:w="3119" w:type="dxa"/>
            <w:tcBorders>
              <w:top w:val="nil"/>
              <w:left w:val="nil"/>
              <w:bottom w:val="single" w:sz="4" w:space="0" w:color="auto"/>
              <w:right w:val="nil"/>
            </w:tcBorders>
            <w:shd w:val="clear" w:color="auto" w:fill="auto"/>
            <w:vAlign w:val="center"/>
            <w:hideMark/>
          </w:tcPr>
          <w:p w:rsidR="009E40FC" w:rsidRPr="00CB2E0F" w:rsidRDefault="009E40FC" w:rsidP="00AA4E0E">
            <w:pPr>
              <w:spacing w:after="0" w:line="240" w:lineRule="auto"/>
              <w:rPr>
                <w:rFonts w:ascii="Garamond" w:eastAsia="Times New Roman" w:hAnsi="Garamond" w:cs="Arial"/>
              </w:rPr>
            </w:pPr>
            <w:r w:rsidRPr="00CB2E0F">
              <w:rPr>
                <w:rFonts w:ascii="Garamond" w:eastAsia="Times New Roman" w:hAnsi="Garamond" w:cs="Arial"/>
              </w:rPr>
              <w:t xml:space="preserve">Wskaźnik zyskowności  netto  (%)                                                           </w:t>
            </w:r>
          </w:p>
        </w:tc>
        <w:tc>
          <w:tcPr>
            <w:tcW w:w="155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- 2,18%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9E40FC" w:rsidRPr="00CB2E0F" w:rsidRDefault="009E40FC" w:rsidP="00AA4E0E">
            <w:pPr>
              <w:spacing w:after="0" w:line="240" w:lineRule="auto"/>
              <w:jc w:val="center"/>
              <w:rPr>
                <w:rFonts w:ascii="Comic Sans MS" w:eastAsia="Times New Roman" w:hAnsi="Comic Sans MS" w:cs="Arial"/>
                <w:sz w:val="20"/>
                <w:szCs w:val="20"/>
              </w:rPr>
            </w:pPr>
            <w:r>
              <w:rPr>
                <w:rFonts w:ascii="Comic Sans MS" w:eastAsia="Times New Roman" w:hAnsi="Comic Sans MS" w:cs="Arial"/>
                <w:sz w:val="20"/>
                <w:szCs w:val="20"/>
              </w:rPr>
              <w:t>0</w:t>
            </w:r>
          </w:p>
        </w:tc>
        <w:tc>
          <w:tcPr>
            <w:tcW w:w="1560" w:type="dxa"/>
            <w:tcBorders>
              <w:top w:val="single" w:sz="4" w:space="0" w:color="auto"/>
              <w:left w:val="single" w:sz="4" w:space="0" w:color="auto"/>
              <w:bottom w:val="single" w:sz="4" w:space="0" w:color="auto"/>
              <w:right w:val="single" w:sz="8" w:space="0" w:color="auto"/>
            </w:tcBorders>
            <w:shd w:val="clear" w:color="000000" w:fill="FFFFFF"/>
            <w:vAlign w:val="center"/>
          </w:tcPr>
          <w:p w:rsidR="009E40FC" w:rsidRPr="00CB2E0F" w:rsidRDefault="009E40FC" w:rsidP="00AA4E0E">
            <w:pPr>
              <w:spacing w:after="0" w:line="240" w:lineRule="auto"/>
              <w:jc w:val="center"/>
              <w:rPr>
                <w:rFonts w:ascii="Comic Sans MS" w:eastAsia="Times New Roman" w:hAnsi="Comic Sans MS" w:cs="Arial"/>
                <w:sz w:val="20"/>
                <w:szCs w:val="20"/>
              </w:rPr>
            </w:pPr>
            <w:r>
              <w:rPr>
                <w:rFonts w:ascii="Comic Sans MS" w:eastAsia="Times New Roman" w:hAnsi="Comic Sans MS" w:cs="Arial"/>
                <w:sz w:val="20"/>
                <w:szCs w:val="20"/>
              </w:rPr>
              <w:t>5</w:t>
            </w:r>
          </w:p>
        </w:tc>
      </w:tr>
      <w:tr w:rsidR="009E40FC" w:rsidRPr="00CB2E0F" w:rsidTr="00CF2498">
        <w:trPr>
          <w:trHeight w:val="945"/>
        </w:trPr>
        <w:tc>
          <w:tcPr>
            <w:tcW w:w="1716"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9E40FC" w:rsidRPr="00CB2E0F" w:rsidRDefault="009E40FC" w:rsidP="00AA4E0E">
            <w:pPr>
              <w:spacing w:after="0" w:line="240" w:lineRule="auto"/>
              <w:rPr>
                <w:rFonts w:ascii="Garamond" w:eastAsia="Times New Roman" w:hAnsi="Garamond" w:cs="Arial"/>
                <w:b/>
                <w:bCs/>
                <w:sz w:val="20"/>
                <w:szCs w:val="20"/>
              </w:rPr>
            </w:pPr>
          </w:p>
        </w:tc>
        <w:tc>
          <w:tcPr>
            <w:tcW w:w="3119" w:type="dxa"/>
            <w:tcBorders>
              <w:top w:val="nil"/>
              <w:left w:val="nil"/>
              <w:bottom w:val="single" w:sz="4" w:space="0" w:color="auto"/>
              <w:right w:val="nil"/>
            </w:tcBorders>
            <w:shd w:val="clear" w:color="auto" w:fill="auto"/>
            <w:vAlign w:val="center"/>
            <w:hideMark/>
          </w:tcPr>
          <w:p w:rsidR="009E40FC" w:rsidRPr="00CB2E0F" w:rsidRDefault="009E40FC" w:rsidP="00AA4E0E">
            <w:pPr>
              <w:spacing w:after="0" w:line="240" w:lineRule="auto"/>
              <w:rPr>
                <w:rFonts w:ascii="Garamond" w:eastAsia="Times New Roman" w:hAnsi="Garamond" w:cs="Arial"/>
              </w:rPr>
            </w:pPr>
            <w:r w:rsidRPr="00CB2E0F">
              <w:rPr>
                <w:rFonts w:ascii="Garamond" w:eastAsia="Times New Roman" w:hAnsi="Garamond" w:cs="Arial"/>
              </w:rPr>
              <w:t xml:space="preserve">Wskaźnik zyskowności działalności operacyjnej (%)            </w:t>
            </w:r>
          </w:p>
        </w:tc>
        <w:tc>
          <w:tcPr>
            <w:tcW w:w="1559" w:type="dxa"/>
            <w:tcBorders>
              <w:top w:val="nil"/>
              <w:left w:val="single" w:sz="8" w:space="0" w:color="auto"/>
              <w:bottom w:val="single" w:sz="4" w:space="0" w:color="auto"/>
              <w:right w:val="single" w:sz="4" w:space="0" w:color="auto"/>
            </w:tcBorders>
            <w:shd w:val="clear" w:color="auto" w:fill="auto"/>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- 2,98%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0</w:t>
            </w:r>
          </w:p>
        </w:tc>
        <w:tc>
          <w:tcPr>
            <w:tcW w:w="1560" w:type="dxa"/>
            <w:tcBorders>
              <w:top w:val="nil"/>
              <w:left w:val="single" w:sz="4" w:space="0" w:color="auto"/>
              <w:bottom w:val="single" w:sz="4" w:space="0" w:color="auto"/>
              <w:right w:val="single" w:sz="8" w:space="0" w:color="auto"/>
            </w:tcBorders>
            <w:shd w:val="clear" w:color="000000" w:fill="FFFFFF"/>
            <w:vAlign w:val="center"/>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5</w:t>
            </w:r>
          </w:p>
        </w:tc>
      </w:tr>
      <w:tr w:rsidR="009E40FC" w:rsidRPr="00CB2E0F" w:rsidTr="00CF2498">
        <w:trPr>
          <w:trHeight w:val="675"/>
        </w:trPr>
        <w:tc>
          <w:tcPr>
            <w:tcW w:w="1716"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9E40FC" w:rsidRPr="00CB2E0F" w:rsidRDefault="009E40FC" w:rsidP="00AA4E0E">
            <w:pPr>
              <w:spacing w:after="0" w:line="240" w:lineRule="auto"/>
              <w:rPr>
                <w:rFonts w:ascii="Garamond" w:eastAsia="Times New Roman" w:hAnsi="Garamond" w:cs="Arial"/>
                <w:b/>
                <w:bCs/>
                <w:sz w:val="20"/>
                <w:szCs w:val="20"/>
              </w:rPr>
            </w:pPr>
          </w:p>
        </w:tc>
        <w:tc>
          <w:tcPr>
            <w:tcW w:w="3119" w:type="dxa"/>
            <w:tcBorders>
              <w:top w:val="nil"/>
              <w:left w:val="nil"/>
              <w:bottom w:val="nil"/>
              <w:right w:val="nil"/>
            </w:tcBorders>
            <w:shd w:val="clear" w:color="auto" w:fill="auto"/>
            <w:vAlign w:val="center"/>
            <w:hideMark/>
          </w:tcPr>
          <w:p w:rsidR="009E40FC" w:rsidRPr="00CB2E0F" w:rsidRDefault="009E40FC" w:rsidP="00AA4E0E">
            <w:pPr>
              <w:spacing w:after="0" w:line="240" w:lineRule="auto"/>
              <w:rPr>
                <w:rFonts w:ascii="Garamond" w:eastAsia="Times New Roman" w:hAnsi="Garamond" w:cs="Arial"/>
              </w:rPr>
            </w:pPr>
            <w:r w:rsidRPr="00CB2E0F">
              <w:rPr>
                <w:rFonts w:ascii="Garamond" w:eastAsia="Times New Roman" w:hAnsi="Garamond" w:cs="Arial"/>
              </w:rPr>
              <w:t>Wskaźnik zyskowność aktywów (%)</w:t>
            </w:r>
          </w:p>
        </w:tc>
        <w:tc>
          <w:tcPr>
            <w:tcW w:w="1559" w:type="dxa"/>
            <w:tcBorders>
              <w:top w:val="nil"/>
              <w:left w:val="single" w:sz="8" w:space="0" w:color="auto"/>
              <w:bottom w:val="nil"/>
              <w:right w:val="single" w:sz="4" w:space="0" w:color="auto"/>
            </w:tcBorders>
            <w:shd w:val="clear" w:color="000000" w:fill="FFFFFF"/>
            <w:vAlign w:val="center"/>
            <w:hideMark/>
          </w:tcPr>
          <w:p w:rsidR="009E40FC" w:rsidRPr="00CB2E0F" w:rsidRDefault="009E40FC" w:rsidP="00AA4E0E">
            <w:pPr>
              <w:spacing w:after="0" w:line="240" w:lineRule="auto"/>
              <w:jc w:val="center"/>
              <w:rPr>
                <w:rFonts w:ascii="Garamond" w:eastAsia="Times New Roman" w:hAnsi="Garamond" w:cs="Arial"/>
                <w:color w:val="000000"/>
              </w:rPr>
            </w:pPr>
            <w:r>
              <w:rPr>
                <w:rFonts w:ascii="Garamond" w:eastAsia="Times New Roman" w:hAnsi="Garamond" w:cs="Arial"/>
                <w:color w:val="000000"/>
              </w:rPr>
              <w:t>- 4,24%</w:t>
            </w:r>
          </w:p>
        </w:tc>
        <w:tc>
          <w:tcPr>
            <w:tcW w:w="1559" w:type="dxa"/>
            <w:tcBorders>
              <w:top w:val="nil"/>
              <w:left w:val="nil"/>
              <w:bottom w:val="single" w:sz="4" w:space="0" w:color="auto"/>
              <w:right w:val="single" w:sz="4" w:space="0" w:color="auto"/>
            </w:tcBorders>
            <w:shd w:val="clear" w:color="000000" w:fill="FFFFFF"/>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0</w:t>
            </w:r>
          </w:p>
        </w:tc>
        <w:tc>
          <w:tcPr>
            <w:tcW w:w="1560" w:type="dxa"/>
            <w:tcBorders>
              <w:top w:val="nil"/>
              <w:left w:val="single" w:sz="4" w:space="0" w:color="auto"/>
              <w:bottom w:val="single" w:sz="4" w:space="0" w:color="auto"/>
              <w:right w:val="single" w:sz="8" w:space="0" w:color="auto"/>
            </w:tcBorders>
            <w:shd w:val="clear" w:color="000000" w:fill="FFFFFF"/>
            <w:vAlign w:val="center"/>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5</w:t>
            </w:r>
          </w:p>
        </w:tc>
      </w:tr>
      <w:tr w:rsidR="009E40FC" w:rsidRPr="00CB2E0F" w:rsidTr="00CF2498">
        <w:trPr>
          <w:trHeight w:val="315"/>
        </w:trPr>
        <w:tc>
          <w:tcPr>
            <w:tcW w:w="4835" w:type="dxa"/>
            <w:gridSpan w:val="2"/>
            <w:tcBorders>
              <w:top w:val="single" w:sz="8" w:space="0" w:color="auto"/>
              <w:left w:val="nil"/>
              <w:bottom w:val="nil"/>
              <w:right w:val="nil"/>
            </w:tcBorders>
            <w:shd w:val="clear" w:color="000000" w:fill="FFFFFF"/>
            <w:noWrap/>
            <w:vAlign w:val="center"/>
            <w:hideMark/>
          </w:tcPr>
          <w:p w:rsidR="009E40FC" w:rsidRDefault="009E40FC" w:rsidP="00AA4E0E">
            <w:pPr>
              <w:spacing w:after="0" w:line="240" w:lineRule="auto"/>
              <w:rPr>
                <w:rFonts w:ascii="Garamond" w:eastAsia="Times New Roman" w:hAnsi="Garamond" w:cs="Arial"/>
                <w:b/>
                <w:bCs/>
                <w:sz w:val="20"/>
                <w:szCs w:val="20"/>
              </w:rPr>
            </w:pPr>
          </w:p>
          <w:p w:rsidR="009E40FC" w:rsidRDefault="009E40FC" w:rsidP="00AA4E0E">
            <w:pPr>
              <w:spacing w:after="0" w:line="240" w:lineRule="auto"/>
              <w:rPr>
                <w:rFonts w:ascii="Garamond" w:eastAsia="Times New Roman" w:hAnsi="Garamond" w:cs="Arial"/>
                <w:b/>
                <w:bCs/>
                <w:sz w:val="20"/>
                <w:szCs w:val="20"/>
              </w:rPr>
            </w:pPr>
          </w:p>
          <w:p w:rsidR="009E40FC" w:rsidRDefault="009E40FC" w:rsidP="00AA4E0E">
            <w:pPr>
              <w:spacing w:after="0" w:line="240" w:lineRule="auto"/>
              <w:rPr>
                <w:rFonts w:ascii="Garamond" w:eastAsia="Times New Roman" w:hAnsi="Garamond" w:cs="Arial"/>
                <w:b/>
                <w:bCs/>
                <w:sz w:val="20"/>
                <w:szCs w:val="20"/>
              </w:rPr>
            </w:pPr>
          </w:p>
          <w:p w:rsidR="009E40FC" w:rsidRPr="00CB2E0F" w:rsidRDefault="009E40FC" w:rsidP="00AA4E0E">
            <w:pPr>
              <w:spacing w:after="0" w:line="240" w:lineRule="auto"/>
              <w:rPr>
                <w:rFonts w:ascii="Garamond" w:eastAsia="Times New Roman" w:hAnsi="Garamond" w:cs="Arial"/>
                <w:b/>
                <w:bCs/>
                <w:sz w:val="20"/>
                <w:szCs w:val="20"/>
              </w:rPr>
            </w:pPr>
          </w:p>
        </w:tc>
        <w:tc>
          <w:tcPr>
            <w:tcW w:w="1559" w:type="dxa"/>
            <w:tcBorders>
              <w:top w:val="single" w:sz="8" w:space="0" w:color="auto"/>
              <w:left w:val="single" w:sz="8" w:space="0" w:color="auto"/>
              <w:bottom w:val="single" w:sz="8" w:space="0" w:color="auto"/>
              <w:right w:val="single" w:sz="4" w:space="0" w:color="auto"/>
            </w:tcBorders>
            <w:shd w:val="clear" w:color="auto" w:fill="FFFFFF" w:themeFill="background1"/>
            <w:vAlign w:val="center"/>
            <w:hideMark/>
          </w:tcPr>
          <w:p w:rsidR="009E40FC" w:rsidRPr="00CB2E0F" w:rsidRDefault="009E40FC" w:rsidP="00AA4E0E">
            <w:pPr>
              <w:spacing w:after="0" w:line="240" w:lineRule="auto"/>
              <w:rPr>
                <w:rFonts w:ascii="Garamond" w:eastAsia="Times New Roman" w:hAnsi="Garamond" w:cs="Arial"/>
                <w:b/>
                <w:bCs/>
                <w:color w:val="000000"/>
                <w:sz w:val="20"/>
                <w:szCs w:val="20"/>
              </w:rPr>
            </w:pPr>
            <w:r>
              <w:rPr>
                <w:rFonts w:ascii="Garamond" w:eastAsia="Times New Roman" w:hAnsi="Garamond" w:cs="Arial"/>
                <w:b/>
                <w:bCs/>
                <w:color w:val="000000"/>
                <w:sz w:val="20"/>
                <w:szCs w:val="20"/>
              </w:rPr>
              <w:t>Razem wskaźniki zyskowności:</w:t>
            </w:r>
          </w:p>
        </w:tc>
        <w:tc>
          <w:tcPr>
            <w:tcW w:w="1559" w:type="dxa"/>
            <w:tcBorders>
              <w:top w:val="single" w:sz="8" w:space="0" w:color="auto"/>
              <w:left w:val="single" w:sz="4" w:space="0" w:color="auto"/>
              <w:bottom w:val="single" w:sz="8" w:space="0" w:color="auto"/>
              <w:right w:val="single" w:sz="4" w:space="0" w:color="auto"/>
            </w:tcBorders>
            <w:shd w:val="clear" w:color="auto" w:fill="FFFFFF" w:themeFill="background1"/>
            <w:vAlign w:val="center"/>
            <w:hideMark/>
          </w:tcPr>
          <w:p w:rsidR="009E40FC" w:rsidRPr="00CB2E0F" w:rsidRDefault="009E40FC" w:rsidP="00AA4E0E">
            <w:pPr>
              <w:spacing w:after="0" w:line="240" w:lineRule="auto"/>
              <w:jc w:val="center"/>
              <w:rPr>
                <w:rFonts w:ascii="Garamond" w:eastAsia="Times New Roman" w:hAnsi="Garamond" w:cs="Arial"/>
                <w:b/>
                <w:bCs/>
              </w:rPr>
            </w:pPr>
            <w:r>
              <w:rPr>
                <w:rFonts w:ascii="Garamond" w:eastAsia="Times New Roman" w:hAnsi="Garamond" w:cs="Arial"/>
                <w:b/>
                <w:bCs/>
              </w:rPr>
              <w:t>0</w:t>
            </w:r>
          </w:p>
        </w:tc>
        <w:tc>
          <w:tcPr>
            <w:tcW w:w="1560"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rsidR="009E40FC" w:rsidRPr="00CB2E0F" w:rsidRDefault="009E40FC" w:rsidP="00AA4E0E">
            <w:pPr>
              <w:spacing w:after="0" w:line="240" w:lineRule="auto"/>
              <w:jc w:val="center"/>
              <w:rPr>
                <w:rFonts w:ascii="Garamond" w:eastAsia="Times New Roman" w:hAnsi="Garamond" w:cs="Arial"/>
                <w:b/>
                <w:bCs/>
              </w:rPr>
            </w:pPr>
            <w:r>
              <w:rPr>
                <w:rFonts w:ascii="Garamond" w:eastAsia="Times New Roman" w:hAnsi="Garamond" w:cs="Arial"/>
                <w:b/>
                <w:bCs/>
              </w:rPr>
              <w:t>15</w:t>
            </w:r>
          </w:p>
        </w:tc>
      </w:tr>
    </w:tbl>
    <w:p w:rsidR="009E40FC" w:rsidRDefault="009E40FC" w:rsidP="009E40FC">
      <w:pPr>
        <w:spacing w:line="240" w:lineRule="auto"/>
        <w:jc w:val="both"/>
        <w:rPr>
          <w:b/>
          <w:sz w:val="24"/>
          <w:szCs w:val="24"/>
          <w:u w:val="single"/>
        </w:rPr>
      </w:pPr>
    </w:p>
    <w:p w:rsidR="009E40FC"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color w:val="000000"/>
          <w:sz w:val="22"/>
          <w:szCs w:val="22"/>
        </w:rPr>
        <w:t xml:space="preserve">- </w:t>
      </w:r>
      <w:r w:rsidRPr="00E9628C">
        <w:rPr>
          <w:rFonts w:asciiTheme="minorHAnsi" w:hAnsiTheme="minorHAnsi" w:cs="Arial"/>
          <w:b/>
          <w:color w:val="000000"/>
          <w:sz w:val="22"/>
          <w:szCs w:val="22"/>
        </w:rPr>
        <w:t xml:space="preserve">wskaźniki zyskowności </w:t>
      </w:r>
      <w:r>
        <w:rPr>
          <w:rFonts w:asciiTheme="minorHAnsi" w:hAnsiTheme="minorHAnsi" w:cs="Arial"/>
          <w:color w:val="000000"/>
          <w:sz w:val="22"/>
          <w:szCs w:val="22"/>
        </w:rPr>
        <w:t>– ocena 0 punktów/na max.15 punktów:</w:t>
      </w:r>
    </w:p>
    <w:p w:rsidR="009E40FC"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color w:val="000000"/>
          <w:sz w:val="22"/>
          <w:szCs w:val="22"/>
        </w:rPr>
        <w:t xml:space="preserve">a) wskaźnik zyskowności netto (%) – wskaźnik ten pokazuje jaką część przychodów stanowi odnotowany zysk lub strata. Określa efektywność gospodarki finansowej w odniesieniu do relacji przychody ogółem do kosztów ogółem, W 2016 roku wskaźnik  zyskowności netto dla Szpitala osiągnął wartość ujemną i wynosi -2,18%, </w:t>
      </w:r>
      <w:r w:rsidRPr="00D46F1D">
        <w:rPr>
          <w:rFonts w:asciiTheme="minorHAnsi" w:hAnsiTheme="minorHAnsi" w:cs="Arial"/>
          <w:sz w:val="22"/>
          <w:szCs w:val="22"/>
        </w:rPr>
        <w:t>przypisana wartość punktowa wynosi  0.  Świadczy</w:t>
      </w:r>
      <w:r>
        <w:rPr>
          <w:rFonts w:asciiTheme="minorHAnsi" w:hAnsiTheme="minorHAnsi" w:cs="Arial"/>
          <w:color w:val="000000"/>
          <w:sz w:val="22"/>
          <w:szCs w:val="22"/>
        </w:rPr>
        <w:t xml:space="preserve"> o braku równowagi między przychodami i kosztami Szpitala.</w:t>
      </w:r>
    </w:p>
    <w:p w:rsidR="009E40FC" w:rsidRPr="00184EDB"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sz w:val="22"/>
          <w:szCs w:val="22"/>
        </w:rPr>
      </w:pPr>
      <w:r w:rsidRPr="00184EDB">
        <w:rPr>
          <w:rFonts w:asciiTheme="minorHAnsi" w:hAnsiTheme="minorHAnsi" w:cs="Arial"/>
          <w:sz w:val="22"/>
          <w:szCs w:val="22"/>
        </w:rPr>
        <w:t xml:space="preserve">b) wskaźnik zyskowności działalności operacyjnej (%) – określa ekonomiczną efektywność działania podmiotu, z uwzględnieniem działalności podstawowej oraz pozostałej działalności operacyjnej. </w:t>
      </w:r>
      <w:r w:rsidR="001A56E4">
        <w:rPr>
          <w:rFonts w:asciiTheme="minorHAnsi" w:hAnsiTheme="minorHAnsi" w:cs="Arial"/>
          <w:sz w:val="22"/>
          <w:szCs w:val="22"/>
        </w:rPr>
        <w:br/>
      </w:r>
      <w:r w:rsidRPr="00184EDB">
        <w:rPr>
          <w:rFonts w:asciiTheme="minorHAnsi" w:hAnsiTheme="minorHAnsi" w:cs="Arial"/>
          <w:sz w:val="22"/>
          <w:szCs w:val="22"/>
        </w:rPr>
        <w:t xml:space="preserve">W roku 2016 wskaźnik ten osiągnął wartość ujemną i wynosi  </w:t>
      </w:r>
      <w:r w:rsidRPr="00184EDB">
        <w:rPr>
          <w:rFonts w:ascii="Garamond" w:hAnsi="Garamond" w:cs="Arial"/>
        </w:rPr>
        <w:t>- 2,98%</w:t>
      </w:r>
      <w:r w:rsidRPr="00184EDB">
        <w:rPr>
          <w:rFonts w:asciiTheme="minorHAnsi" w:hAnsiTheme="minorHAnsi" w:cs="Arial"/>
          <w:sz w:val="22"/>
          <w:szCs w:val="22"/>
        </w:rPr>
        <w:t xml:space="preserve">, przypisana wartość punktowa wynosi 0. </w:t>
      </w:r>
    </w:p>
    <w:p w:rsidR="009E40FC" w:rsidRPr="004B7EC0"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sz w:val="22"/>
          <w:szCs w:val="22"/>
        </w:rPr>
      </w:pPr>
      <w:r w:rsidRPr="004B7EC0">
        <w:rPr>
          <w:rFonts w:asciiTheme="minorHAnsi" w:hAnsiTheme="minorHAnsi" w:cs="Arial"/>
          <w:sz w:val="22"/>
          <w:szCs w:val="22"/>
        </w:rPr>
        <w:t xml:space="preserve">c) wskaźnik zyskowności aktywów (%) – informuje o wielkości zysku lub straty przypadającej na jednostkę wartości zaangażowanych w podmiocie aktywów, czyli wyznacza on ogólną zdolność aktywów podmiotu do generowania zysku. W roku 2016 wskaźnik ten osiągnął wartość ujemną </w:t>
      </w:r>
      <w:r w:rsidR="001A56E4">
        <w:rPr>
          <w:rFonts w:asciiTheme="minorHAnsi" w:hAnsiTheme="minorHAnsi" w:cs="Arial"/>
          <w:sz w:val="22"/>
          <w:szCs w:val="22"/>
        </w:rPr>
        <w:br/>
      </w:r>
      <w:r w:rsidRPr="004B7EC0">
        <w:rPr>
          <w:rFonts w:asciiTheme="minorHAnsi" w:hAnsiTheme="minorHAnsi" w:cs="Arial"/>
          <w:sz w:val="22"/>
          <w:szCs w:val="22"/>
        </w:rPr>
        <w:t xml:space="preserve">i wynosi </w:t>
      </w:r>
      <w:r w:rsidRPr="004B7EC0">
        <w:rPr>
          <w:rFonts w:ascii="Garamond" w:hAnsi="Garamond" w:cs="Arial"/>
        </w:rPr>
        <w:t>- 4,24%</w:t>
      </w:r>
      <w:r w:rsidRPr="004B7EC0">
        <w:rPr>
          <w:rFonts w:asciiTheme="minorHAnsi" w:hAnsiTheme="minorHAnsi" w:cs="Arial"/>
          <w:sz w:val="22"/>
          <w:szCs w:val="22"/>
        </w:rPr>
        <w:t>. Przypisana wartość punktowa wynosi 0.</w:t>
      </w:r>
      <w:r>
        <w:rPr>
          <w:rFonts w:asciiTheme="minorHAnsi" w:hAnsiTheme="minorHAnsi" w:cs="Arial"/>
          <w:sz w:val="22"/>
          <w:szCs w:val="22"/>
        </w:rPr>
        <w:t xml:space="preserve"> Ujemna wartość tego wskaźnika </w:t>
      </w:r>
      <w:r w:rsidR="00C86827">
        <w:rPr>
          <w:rFonts w:asciiTheme="minorHAnsi" w:hAnsiTheme="minorHAnsi" w:cs="Arial"/>
          <w:sz w:val="22"/>
          <w:szCs w:val="22"/>
        </w:rPr>
        <w:t>świadczy o nieefektywności zarządzania zasobami.</w:t>
      </w:r>
    </w:p>
    <w:p w:rsidR="00CF2498" w:rsidRDefault="009E40FC" w:rsidP="00CF2498">
      <w:pPr>
        <w:pStyle w:val="NormalnyWeb"/>
        <w:shd w:val="clear" w:color="auto" w:fill="FFFFFF"/>
        <w:spacing w:before="0" w:beforeAutospacing="0" w:after="225" w:afterAutospacing="0" w:line="360" w:lineRule="auto"/>
        <w:contextualSpacing/>
        <w:jc w:val="both"/>
        <w:rPr>
          <w:rFonts w:asciiTheme="minorHAnsi" w:hAnsiTheme="minorHAnsi" w:cs="Arial"/>
          <w:bCs/>
          <w:sz w:val="22"/>
          <w:szCs w:val="22"/>
        </w:rPr>
      </w:pPr>
      <w:r w:rsidRPr="007F4721">
        <w:rPr>
          <w:rFonts w:asciiTheme="minorHAnsi" w:hAnsiTheme="minorHAnsi" w:cs="Arial"/>
          <w:sz w:val="22"/>
          <w:szCs w:val="22"/>
        </w:rPr>
        <w:t xml:space="preserve">Dodatnie wartości wskaźników informują o racjonalnym gospodarowaniu, </w:t>
      </w:r>
      <w:r>
        <w:rPr>
          <w:rFonts w:asciiTheme="minorHAnsi" w:hAnsiTheme="minorHAnsi" w:cs="Arial"/>
          <w:sz w:val="22"/>
          <w:szCs w:val="22"/>
        </w:rPr>
        <w:t>wówczas</w:t>
      </w:r>
      <w:r w:rsidRPr="007F4721">
        <w:rPr>
          <w:rFonts w:asciiTheme="minorHAnsi" w:hAnsiTheme="minorHAnsi" w:cs="Arial"/>
          <w:sz w:val="22"/>
          <w:szCs w:val="22"/>
        </w:rPr>
        <w:t xml:space="preserve"> przychody przewyższają koszty.</w:t>
      </w:r>
      <w:r>
        <w:rPr>
          <w:rFonts w:asciiTheme="minorHAnsi" w:hAnsiTheme="minorHAnsi" w:cs="Arial"/>
          <w:bCs/>
          <w:sz w:val="22"/>
          <w:szCs w:val="22"/>
        </w:rPr>
        <w:t xml:space="preserve"> W przypadku</w:t>
      </w:r>
      <w:r w:rsidRPr="007F4721">
        <w:rPr>
          <w:rFonts w:asciiTheme="minorHAnsi" w:hAnsiTheme="minorHAnsi" w:cs="Arial"/>
          <w:bCs/>
          <w:sz w:val="22"/>
          <w:szCs w:val="22"/>
        </w:rPr>
        <w:t xml:space="preserve"> Szpital</w:t>
      </w:r>
      <w:r>
        <w:rPr>
          <w:rFonts w:asciiTheme="minorHAnsi" w:hAnsiTheme="minorHAnsi" w:cs="Arial"/>
          <w:bCs/>
          <w:sz w:val="22"/>
          <w:szCs w:val="22"/>
        </w:rPr>
        <w:t>a uzyskano</w:t>
      </w:r>
      <w:r w:rsidRPr="007F4721">
        <w:rPr>
          <w:rFonts w:asciiTheme="minorHAnsi" w:hAnsiTheme="minorHAnsi" w:cs="Arial"/>
          <w:bCs/>
          <w:sz w:val="22"/>
          <w:szCs w:val="22"/>
        </w:rPr>
        <w:t xml:space="preserve"> ujemne wartości w/w wskaźników</w:t>
      </w:r>
      <w:r>
        <w:rPr>
          <w:rFonts w:asciiTheme="minorHAnsi" w:hAnsiTheme="minorHAnsi" w:cs="Arial"/>
          <w:bCs/>
          <w:sz w:val="22"/>
          <w:szCs w:val="22"/>
        </w:rPr>
        <w:t>,</w:t>
      </w:r>
      <w:r w:rsidRPr="007F4721">
        <w:rPr>
          <w:rFonts w:asciiTheme="minorHAnsi" w:hAnsiTheme="minorHAnsi" w:cs="Arial"/>
          <w:bCs/>
          <w:sz w:val="22"/>
          <w:szCs w:val="22"/>
        </w:rPr>
        <w:t xml:space="preserve"> co świadczy o braku równowagi między  przychodami i  kosztami.</w:t>
      </w:r>
      <w:r>
        <w:rPr>
          <w:rFonts w:asciiTheme="minorHAnsi" w:hAnsiTheme="minorHAnsi" w:cs="Arial"/>
          <w:bCs/>
          <w:sz w:val="22"/>
          <w:szCs w:val="22"/>
        </w:rPr>
        <w:t xml:space="preserve"> </w:t>
      </w:r>
    </w:p>
    <w:p w:rsidR="009E40FC" w:rsidRDefault="009E40FC" w:rsidP="00CF2498">
      <w:pPr>
        <w:pStyle w:val="NormalnyWeb"/>
        <w:shd w:val="clear" w:color="auto" w:fill="FFFFFF"/>
        <w:spacing w:before="0" w:beforeAutospacing="0" w:after="225" w:afterAutospacing="0" w:line="360" w:lineRule="auto"/>
        <w:contextualSpacing/>
        <w:jc w:val="both"/>
        <w:rPr>
          <w:rFonts w:asciiTheme="minorHAnsi" w:hAnsiTheme="minorHAnsi" w:cs="Arial"/>
          <w:bCs/>
          <w:sz w:val="22"/>
          <w:szCs w:val="22"/>
        </w:rPr>
      </w:pPr>
      <w:r>
        <w:rPr>
          <w:rFonts w:asciiTheme="minorHAnsi" w:hAnsiTheme="minorHAnsi" w:cs="Arial"/>
          <w:bCs/>
          <w:sz w:val="22"/>
          <w:szCs w:val="22"/>
        </w:rPr>
        <w:t>Reasumując należy podkreślić, że  i</w:t>
      </w:r>
      <w:r w:rsidRPr="007F4721">
        <w:rPr>
          <w:rFonts w:asciiTheme="minorHAnsi" w:hAnsiTheme="minorHAnsi" w:cs="Arial"/>
          <w:bCs/>
          <w:sz w:val="22"/>
          <w:szCs w:val="22"/>
        </w:rPr>
        <w:t>m większe wartości</w:t>
      </w:r>
      <w:r w:rsidR="00CF2498">
        <w:rPr>
          <w:rFonts w:asciiTheme="minorHAnsi" w:hAnsiTheme="minorHAnsi" w:cs="Arial"/>
          <w:bCs/>
          <w:sz w:val="22"/>
          <w:szCs w:val="22"/>
        </w:rPr>
        <w:t xml:space="preserve"> przyjmuje wskaźnik zyskowności</w:t>
      </w:r>
      <w:r w:rsidRPr="007F4721">
        <w:rPr>
          <w:rFonts w:asciiTheme="minorHAnsi" w:hAnsiTheme="minorHAnsi" w:cs="Arial"/>
          <w:bCs/>
          <w:sz w:val="22"/>
          <w:szCs w:val="22"/>
        </w:rPr>
        <w:t xml:space="preserve">, tym bardziej efektywna jest działalność podmiotu. </w:t>
      </w:r>
      <w:r>
        <w:rPr>
          <w:rFonts w:asciiTheme="minorHAnsi" w:hAnsiTheme="minorHAnsi" w:cs="Arial"/>
          <w:bCs/>
          <w:sz w:val="22"/>
          <w:szCs w:val="22"/>
        </w:rPr>
        <w:t>W</w:t>
      </w:r>
      <w:r w:rsidRPr="007F4721">
        <w:rPr>
          <w:rFonts w:asciiTheme="minorHAnsi" w:hAnsiTheme="minorHAnsi" w:cs="Arial"/>
          <w:bCs/>
          <w:sz w:val="22"/>
          <w:szCs w:val="22"/>
        </w:rPr>
        <w:t xml:space="preserve"> przypadku szpitala, jako </w:t>
      </w:r>
      <w:proofErr w:type="spellStart"/>
      <w:r>
        <w:rPr>
          <w:rFonts w:asciiTheme="minorHAnsi" w:hAnsiTheme="minorHAnsi" w:cs="Arial"/>
          <w:bCs/>
          <w:sz w:val="22"/>
          <w:szCs w:val="22"/>
        </w:rPr>
        <w:t>zoz-u</w:t>
      </w:r>
      <w:proofErr w:type="spellEnd"/>
      <w:r>
        <w:rPr>
          <w:rFonts w:asciiTheme="minorHAnsi" w:hAnsiTheme="minorHAnsi" w:cs="Arial"/>
          <w:bCs/>
          <w:sz w:val="22"/>
          <w:szCs w:val="22"/>
        </w:rPr>
        <w:t>, którego</w:t>
      </w:r>
      <w:r w:rsidRPr="007F4721">
        <w:rPr>
          <w:rFonts w:asciiTheme="minorHAnsi" w:hAnsiTheme="minorHAnsi" w:cs="Arial"/>
          <w:bCs/>
          <w:sz w:val="22"/>
          <w:szCs w:val="22"/>
        </w:rPr>
        <w:t xml:space="preserve"> celem nie jest maksymalizacja zysku, istotniejszym jest fakt bilansowania się prowadzonej działalności. </w:t>
      </w:r>
    </w:p>
    <w:tbl>
      <w:tblPr>
        <w:tblW w:w="9513" w:type="dxa"/>
        <w:tblInd w:w="55" w:type="dxa"/>
        <w:tblLayout w:type="fixed"/>
        <w:tblCellMar>
          <w:left w:w="70" w:type="dxa"/>
          <w:right w:w="70" w:type="dxa"/>
        </w:tblCellMar>
        <w:tblLook w:val="04A0" w:firstRow="1" w:lastRow="0" w:firstColumn="1" w:lastColumn="0" w:noHBand="0" w:noVBand="1"/>
      </w:tblPr>
      <w:tblGrid>
        <w:gridCol w:w="1716"/>
        <w:gridCol w:w="2694"/>
        <w:gridCol w:w="1701"/>
        <w:gridCol w:w="1701"/>
        <w:gridCol w:w="1701"/>
      </w:tblGrid>
      <w:tr w:rsidR="009E40FC" w:rsidRPr="00CB2E0F" w:rsidTr="00CF2498">
        <w:trPr>
          <w:trHeight w:val="735"/>
        </w:trPr>
        <w:tc>
          <w:tcPr>
            <w:tcW w:w="1716" w:type="dxa"/>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rsidR="009E40FC" w:rsidRPr="00CB2E0F" w:rsidRDefault="009E40FC" w:rsidP="00AA4E0E">
            <w:pPr>
              <w:spacing w:after="0" w:line="240" w:lineRule="auto"/>
              <w:jc w:val="center"/>
              <w:rPr>
                <w:rFonts w:ascii="Garamond" w:eastAsia="Times New Roman" w:hAnsi="Garamond" w:cs="Arial"/>
                <w:b/>
                <w:bCs/>
                <w:sz w:val="20"/>
                <w:szCs w:val="20"/>
              </w:rPr>
            </w:pPr>
            <w:r w:rsidRPr="00E620E0">
              <w:rPr>
                <w:rFonts w:ascii="Garamond" w:eastAsia="Times New Roman" w:hAnsi="Garamond" w:cs="Arial"/>
                <w:b/>
                <w:sz w:val="20"/>
                <w:szCs w:val="20"/>
              </w:rPr>
              <w:t>Grupa</w:t>
            </w:r>
          </w:p>
        </w:tc>
        <w:tc>
          <w:tcPr>
            <w:tcW w:w="2694" w:type="dxa"/>
            <w:tcBorders>
              <w:top w:val="single" w:sz="8" w:space="0" w:color="auto"/>
              <w:left w:val="nil"/>
              <w:bottom w:val="single" w:sz="4" w:space="0" w:color="auto"/>
              <w:right w:val="nil"/>
            </w:tcBorders>
            <w:shd w:val="clear" w:color="auto" w:fill="auto"/>
            <w:vAlign w:val="center"/>
            <w:hideMark/>
          </w:tcPr>
          <w:p w:rsidR="009E40FC" w:rsidRPr="00CB2E0F" w:rsidRDefault="009E40FC" w:rsidP="00AA4E0E">
            <w:pPr>
              <w:spacing w:after="0" w:line="240" w:lineRule="auto"/>
              <w:jc w:val="center"/>
              <w:rPr>
                <w:rFonts w:ascii="Garamond" w:eastAsia="Times New Roman" w:hAnsi="Garamond" w:cs="Arial"/>
              </w:rPr>
            </w:pPr>
            <w:r w:rsidRPr="00E620E0">
              <w:rPr>
                <w:rFonts w:ascii="Garamond" w:eastAsia="Times New Roman" w:hAnsi="Garamond" w:cs="Arial"/>
                <w:b/>
              </w:rPr>
              <w:t>Wskaźniki</w:t>
            </w:r>
          </w:p>
        </w:tc>
        <w:tc>
          <w:tcPr>
            <w:tcW w:w="1701"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9E40FC" w:rsidRDefault="009E40FC" w:rsidP="00AA4E0E">
            <w:pPr>
              <w:spacing w:after="0" w:line="240" w:lineRule="auto"/>
              <w:jc w:val="center"/>
              <w:rPr>
                <w:rFonts w:ascii="Garamond" w:eastAsia="Times New Roman" w:hAnsi="Garamond" w:cs="Arial"/>
              </w:rPr>
            </w:pPr>
            <w:r w:rsidRPr="00CB2E0F">
              <w:rPr>
                <w:rFonts w:ascii="Garamond" w:eastAsia="Times New Roman" w:hAnsi="Garamond" w:cs="Arial"/>
                <w:b/>
                <w:bCs/>
                <w:sz w:val="18"/>
                <w:szCs w:val="18"/>
              </w:rPr>
              <w:t>Wskaźnik</w:t>
            </w:r>
          </w:p>
        </w:tc>
        <w:tc>
          <w:tcPr>
            <w:tcW w:w="1701" w:type="dxa"/>
            <w:tcBorders>
              <w:top w:val="single" w:sz="8" w:space="0" w:color="auto"/>
              <w:left w:val="nil"/>
              <w:bottom w:val="single" w:sz="4" w:space="0" w:color="auto"/>
              <w:right w:val="single" w:sz="4" w:space="0" w:color="auto"/>
            </w:tcBorders>
            <w:shd w:val="clear" w:color="000000" w:fill="FFFFFF"/>
            <w:vAlign w:val="center"/>
            <w:hideMark/>
          </w:tcPr>
          <w:p w:rsidR="009E40FC" w:rsidRDefault="009E40FC" w:rsidP="00AA4E0E">
            <w:pPr>
              <w:spacing w:after="0" w:line="240" w:lineRule="auto"/>
              <w:jc w:val="center"/>
              <w:rPr>
                <w:rFonts w:ascii="Garamond" w:eastAsia="Times New Roman" w:hAnsi="Garamond" w:cs="Arial"/>
                <w:b/>
                <w:bCs/>
                <w:sz w:val="18"/>
                <w:szCs w:val="18"/>
              </w:rPr>
            </w:pPr>
            <w:r w:rsidRPr="00CB2E0F">
              <w:rPr>
                <w:rFonts w:ascii="Garamond" w:eastAsia="Times New Roman" w:hAnsi="Garamond" w:cs="Arial"/>
                <w:b/>
                <w:bCs/>
                <w:sz w:val="18"/>
                <w:szCs w:val="18"/>
              </w:rPr>
              <w:t>Ilość punktów</w:t>
            </w:r>
          </w:p>
          <w:p w:rsidR="009E40FC" w:rsidRDefault="009E40FC" w:rsidP="00AA4E0E">
            <w:pPr>
              <w:spacing w:after="0" w:line="240" w:lineRule="auto"/>
              <w:jc w:val="center"/>
              <w:rPr>
                <w:rFonts w:ascii="Garamond" w:eastAsia="Times New Roman" w:hAnsi="Garamond" w:cs="Arial"/>
              </w:rPr>
            </w:pPr>
            <w:r>
              <w:rPr>
                <w:rFonts w:ascii="Garamond" w:eastAsia="Times New Roman" w:hAnsi="Garamond" w:cs="Arial"/>
                <w:b/>
                <w:bCs/>
                <w:sz w:val="18"/>
                <w:szCs w:val="18"/>
              </w:rPr>
              <w:t xml:space="preserve">uzyskanych przez </w:t>
            </w:r>
            <w:proofErr w:type="spellStart"/>
            <w:r>
              <w:rPr>
                <w:rFonts w:ascii="Garamond" w:eastAsia="Times New Roman" w:hAnsi="Garamond" w:cs="Arial"/>
                <w:b/>
                <w:bCs/>
                <w:sz w:val="18"/>
                <w:szCs w:val="18"/>
              </w:rPr>
              <w:t>spzoz</w:t>
            </w:r>
            <w:proofErr w:type="spellEnd"/>
          </w:p>
        </w:tc>
        <w:tc>
          <w:tcPr>
            <w:tcW w:w="1701" w:type="dxa"/>
            <w:tcBorders>
              <w:top w:val="single" w:sz="8" w:space="0" w:color="auto"/>
              <w:left w:val="single" w:sz="4" w:space="0" w:color="auto"/>
              <w:bottom w:val="single" w:sz="4" w:space="0" w:color="auto"/>
              <w:right w:val="single" w:sz="8" w:space="0" w:color="auto"/>
            </w:tcBorders>
            <w:shd w:val="clear" w:color="000000" w:fill="FFFFFF"/>
            <w:vAlign w:val="center"/>
          </w:tcPr>
          <w:p w:rsidR="009E40FC" w:rsidRDefault="009E40FC" w:rsidP="00AA4E0E">
            <w:pPr>
              <w:spacing w:after="0" w:line="240" w:lineRule="auto"/>
              <w:jc w:val="center"/>
              <w:rPr>
                <w:rFonts w:ascii="Garamond" w:eastAsia="Times New Roman" w:hAnsi="Garamond" w:cs="Arial"/>
              </w:rPr>
            </w:pPr>
            <w:r>
              <w:rPr>
                <w:rFonts w:ascii="Garamond" w:eastAsia="Times New Roman" w:hAnsi="Garamond" w:cs="Arial"/>
                <w:b/>
                <w:bCs/>
                <w:sz w:val="18"/>
                <w:szCs w:val="18"/>
              </w:rPr>
              <w:t>Maksymalna ilość punktów do uzyskania zgodnie z Rozporządzeniem Ministra Zdrowia</w:t>
            </w:r>
          </w:p>
        </w:tc>
      </w:tr>
      <w:tr w:rsidR="009E40FC" w:rsidRPr="00CB2E0F" w:rsidTr="00CF2498">
        <w:trPr>
          <w:trHeight w:val="735"/>
        </w:trPr>
        <w:tc>
          <w:tcPr>
            <w:tcW w:w="1716" w:type="dxa"/>
            <w:vMerge w:val="restart"/>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rsidR="009E40FC" w:rsidRPr="00CB2E0F" w:rsidRDefault="009E40FC" w:rsidP="00AA4E0E">
            <w:pPr>
              <w:spacing w:after="0" w:line="240" w:lineRule="auto"/>
              <w:jc w:val="center"/>
              <w:rPr>
                <w:rFonts w:ascii="Garamond" w:eastAsia="Times New Roman" w:hAnsi="Garamond" w:cs="Arial"/>
                <w:b/>
                <w:bCs/>
                <w:sz w:val="20"/>
                <w:szCs w:val="20"/>
              </w:rPr>
            </w:pPr>
            <w:r w:rsidRPr="00CB2E0F">
              <w:rPr>
                <w:rFonts w:ascii="Garamond" w:eastAsia="Times New Roman" w:hAnsi="Garamond" w:cs="Arial"/>
                <w:b/>
                <w:bCs/>
                <w:sz w:val="20"/>
                <w:szCs w:val="20"/>
              </w:rPr>
              <w:t>WSKAŹNIKI PŁYNNOŚCI</w:t>
            </w:r>
            <w:r>
              <w:rPr>
                <w:rFonts w:ascii="Garamond" w:eastAsia="Times New Roman" w:hAnsi="Garamond" w:cs="Arial"/>
                <w:b/>
                <w:bCs/>
                <w:sz w:val="20"/>
                <w:szCs w:val="20"/>
              </w:rPr>
              <w:t xml:space="preserve"> FINANSOWEJ</w:t>
            </w:r>
          </w:p>
        </w:tc>
        <w:tc>
          <w:tcPr>
            <w:tcW w:w="2694" w:type="dxa"/>
            <w:tcBorders>
              <w:top w:val="single" w:sz="8" w:space="0" w:color="auto"/>
              <w:left w:val="nil"/>
              <w:bottom w:val="single" w:sz="4" w:space="0" w:color="auto"/>
              <w:right w:val="nil"/>
            </w:tcBorders>
            <w:shd w:val="clear" w:color="auto" w:fill="auto"/>
            <w:vAlign w:val="center"/>
            <w:hideMark/>
          </w:tcPr>
          <w:p w:rsidR="009E40FC" w:rsidRPr="00CB2E0F" w:rsidRDefault="009E40FC" w:rsidP="00AA4E0E">
            <w:pPr>
              <w:spacing w:after="0" w:line="240" w:lineRule="auto"/>
              <w:rPr>
                <w:rFonts w:ascii="Garamond" w:eastAsia="Times New Roman" w:hAnsi="Garamond" w:cs="Arial"/>
              </w:rPr>
            </w:pPr>
            <w:r w:rsidRPr="00CB2E0F">
              <w:rPr>
                <w:rFonts w:ascii="Garamond" w:eastAsia="Times New Roman" w:hAnsi="Garamond" w:cs="Arial"/>
              </w:rPr>
              <w:t xml:space="preserve">Wskaźnik bieżącej płynności                                           </w:t>
            </w:r>
          </w:p>
        </w:tc>
        <w:tc>
          <w:tcPr>
            <w:tcW w:w="1701"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0,98</w:t>
            </w:r>
          </w:p>
        </w:tc>
        <w:tc>
          <w:tcPr>
            <w:tcW w:w="1701" w:type="dxa"/>
            <w:tcBorders>
              <w:top w:val="single" w:sz="8" w:space="0" w:color="auto"/>
              <w:left w:val="nil"/>
              <w:bottom w:val="single" w:sz="4" w:space="0" w:color="auto"/>
              <w:right w:val="single" w:sz="4" w:space="0" w:color="auto"/>
            </w:tcBorders>
            <w:shd w:val="clear" w:color="000000" w:fill="FFFFFF"/>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4</w:t>
            </w:r>
          </w:p>
        </w:tc>
        <w:tc>
          <w:tcPr>
            <w:tcW w:w="1701" w:type="dxa"/>
            <w:tcBorders>
              <w:top w:val="single" w:sz="8" w:space="0" w:color="auto"/>
              <w:left w:val="single" w:sz="4" w:space="0" w:color="auto"/>
              <w:bottom w:val="single" w:sz="4" w:space="0" w:color="auto"/>
              <w:right w:val="single" w:sz="8" w:space="0" w:color="auto"/>
            </w:tcBorders>
            <w:shd w:val="clear" w:color="000000" w:fill="FFFFFF"/>
            <w:vAlign w:val="center"/>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12</w:t>
            </w:r>
          </w:p>
        </w:tc>
      </w:tr>
      <w:tr w:rsidR="009E40FC" w:rsidRPr="00CB2E0F" w:rsidTr="00CF2498">
        <w:trPr>
          <w:trHeight w:val="720"/>
        </w:trPr>
        <w:tc>
          <w:tcPr>
            <w:tcW w:w="1716" w:type="dxa"/>
            <w:vMerge/>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rsidR="009E40FC" w:rsidRPr="00CB2E0F" w:rsidRDefault="009E40FC" w:rsidP="00AA4E0E">
            <w:pPr>
              <w:spacing w:after="0" w:line="240" w:lineRule="auto"/>
              <w:rPr>
                <w:rFonts w:ascii="Garamond" w:eastAsia="Times New Roman" w:hAnsi="Garamond" w:cs="Arial"/>
                <w:b/>
                <w:bCs/>
                <w:sz w:val="20"/>
                <w:szCs w:val="20"/>
              </w:rPr>
            </w:pPr>
          </w:p>
        </w:tc>
        <w:tc>
          <w:tcPr>
            <w:tcW w:w="2694" w:type="dxa"/>
            <w:tcBorders>
              <w:top w:val="nil"/>
              <w:left w:val="nil"/>
              <w:bottom w:val="single" w:sz="4" w:space="0" w:color="auto"/>
              <w:right w:val="nil"/>
            </w:tcBorders>
            <w:shd w:val="clear" w:color="auto" w:fill="auto"/>
            <w:vAlign w:val="center"/>
            <w:hideMark/>
          </w:tcPr>
          <w:p w:rsidR="009E40FC" w:rsidRPr="00CB2E0F" w:rsidRDefault="009E40FC" w:rsidP="00AA4E0E">
            <w:pPr>
              <w:spacing w:after="0" w:line="240" w:lineRule="auto"/>
              <w:rPr>
                <w:rFonts w:ascii="Garamond" w:eastAsia="Times New Roman" w:hAnsi="Garamond" w:cs="Arial"/>
              </w:rPr>
            </w:pPr>
            <w:r w:rsidRPr="00CB2E0F">
              <w:rPr>
                <w:rFonts w:ascii="Garamond" w:eastAsia="Times New Roman" w:hAnsi="Garamond" w:cs="Arial"/>
              </w:rPr>
              <w:t>Wskaźnik szybkiej płynności</w:t>
            </w:r>
          </w:p>
        </w:tc>
        <w:tc>
          <w:tcPr>
            <w:tcW w:w="1701" w:type="dxa"/>
            <w:tcBorders>
              <w:top w:val="nil"/>
              <w:left w:val="single" w:sz="8" w:space="0" w:color="auto"/>
              <w:bottom w:val="single" w:sz="4" w:space="0" w:color="auto"/>
              <w:right w:val="single" w:sz="4" w:space="0" w:color="auto"/>
            </w:tcBorders>
            <w:shd w:val="clear" w:color="auto" w:fill="auto"/>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0,85</w:t>
            </w:r>
          </w:p>
        </w:tc>
        <w:tc>
          <w:tcPr>
            <w:tcW w:w="1701" w:type="dxa"/>
            <w:tcBorders>
              <w:top w:val="nil"/>
              <w:left w:val="nil"/>
              <w:bottom w:val="single" w:sz="4" w:space="0" w:color="auto"/>
              <w:right w:val="single" w:sz="4" w:space="0" w:color="auto"/>
            </w:tcBorders>
            <w:shd w:val="clear" w:color="000000" w:fill="FFFFFF"/>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8</w:t>
            </w:r>
          </w:p>
        </w:tc>
        <w:tc>
          <w:tcPr>
            <w:tcW w:w="1701" w:type="dxa"/>
            <w:tcBorders>
              <w:top w:val="nil"/>
              <w:left w:val="single" w:sz="4" w:space="0" w:color="auto"/>
              <w:bottom w:val="single" w:sz="4" w:space="0" w:color="auto"/>
              <w:right w:val="single" w:sz="8" w:space="0" w:color="auto"/>
            </w:tcBorders>
            <w:shd w:val="clear" w:color="000000" w:fill="FFFFFF"/>
            <w:vAlign w:val="center"/>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13</w:t>
            </w:r>
          </w:p>
        </w:tc>
      </w:tr>
      <w:tr w:rsidR="009E40FC" w:rsidRPr="00CB2E0F" w:rsidTr="00CF2498">
        <w:trPr>
          <w:trHeight w:val="360"/>
        </w:trPr>
        <w:tc>
          <w:tcPr>
            <w:tcW w:w="4410" w:type="dxa"/>
            <w:gridSpan w:val="2"/>
            <w:tcBorders>
              <w:top w:val="single" w:sz="8" w:space="0" w:color="auto"/>
              <w:left w:val="nil"/>
              <w:bottom w:val="nil"/>
              <w:right w:val="nil"/>
            </w:tcBorders>
            <w:shd w:val="clear" w:color="000000" w:fill="FFFFFF"/>
            <w:noWrap/>
            <w:vAlign w:val="center"/>
            <w:hideMark/>
          </w:tcPr>
          <w:p w:rsidR="009E40FC" w:rsidRDefault="009E40FC" w:rsidP="00AA4E0E">
            <w:pPr>
              <w:spacing w:after="0" w:line="240" w:lineRule="auto"/>
              <w:rPr>
                <w:rFonts w:ascii="Garamond" w:eastAsia="Times New Roman" w:hAnsi="Garamond" w:cs="Arial"/>
                <w:b/>
                <w:bCs/>
                <w:sz w:val="20"/>
                <w:szCs w:val="20"/>
              </w:rPr>
            </w:pPr>
            <w:r w:rsidRPr="00CB2E0F">
              <w:rPr>
                <w:rFonts w:ascii="Garamond" w:eastAsia="Times New Roman" w:hAnsi="Garamond" w:cs="Arial"/>
                <w:b/>
                <w:bCs/>
                <w:sz w:val="20"/>
                <w:szCs w:val="20"/>
              </w:rPr>
              <w:t> </w:t>
            </w:r>
          </w:p>
          <w:p w:rsidR="009E40FC" w:rsidRPr="00CB2E0F" w:rsidRDefault="009E40FC" w:rsidP="00AA4E0E">
            <w:pPr>
              <w:spacing w:after="0" w:line="240" w:lineRule="auto"/>
              <w:rPr>
                <w:rFonts w:ascii="Garamond" w:eastAsia="Times New Roman" w:hAnsi="Garamond" w:cs="Arial"/>
                <w:b/>
                <w:bCs/>
                <w:sz w:val="20"/>
                <w:szCs w:val="20"/>
              </w:rPr>
            </w:pPr>
          </w:p>
        </w:tc>
        <w:tc>
          <w:tcPr>
            <w:tcW w:w="1701" w:type="dxa"/>
            <w:tcBorders>
              <w:top w:val="single" w:sz="8" w:space="0" w:color="auto"/>
              <w:left w:val="single" w:sz="8" w:space="0" w:color="auto"/>
              <w:bottom w:val="single" w:sz="8" w:space="0" w:color="auto"/>
              <w:right w:val="single" w:sz="4" w:space="0" w:color="auto"/>
            </w:tcBorders>
            <w:shd w:val="clear" w:color="auto" w:fill="FFFFFF" w:themeFill="background1"/>
            <w:vAlign w:val="center"/>
            <w:hideMark/>
          </w:tcPr>
          <w:p w:rsidR="009E40FC" w:rsidRDefault="009E40FC" w:rsidP="00AA4E0E">
            <w:pPr>
              <w:spacing w:after="0" w:line="240" w:lineRule="auto"/>
              <w:rPr>
                <w:rFonts w:ascii="Garamond" w:eastAsia="Times New Roman" w:hAnsi="Garamond" w:cs="Arial"/>
                <w:b/>
                <w:bCs/>
                <w:color w:val="000000"/>
                <w:sz w:val="20"/>
                <w:szCs w:val="20"/>
              </w:rPr>
            </w:pPr>
            <w:r>
              <w:rPr>
                <w:rFonts w:ascii="Garamond" w:eastAsia="Times New Roman" w:hAnsi="Garamond" w:cs="Arial"/>
                <w:b/>
                <w:bCs/>
                <w:color w:val="000000"/>
                <w:sz w:val="20"/>
                <w:szCs w:val="20"/>
              </w:rPr>
              <w:t>Razem wskaźniki</w:t>
            </w:r>
          </w:p>
          <w:p w:rsidR="009E40FC" w:rsidRPr="00CB2E0F" w:rsidRDefault="009E40FC" w:rsidP="00AA4E0E">
            <w:pPr>
              <w:spacing w:after="0" w:line="240" w:lineRule="auto"/>
              <w:rPr>
                <w:rFonts w:ascii="Garamond" w:eastAsia="Times New Roman" w:hAnsi="Garamond" w:cs="Arial"/>
                <w:b/>
                <w:bCs/>
                <w:color w:val="000000"/>
                <w:sz w:val="20"/>
                <w:szCs w:val="20"/>
              </w:rPr>
            </w:pPr>
            <w:r>
              <w:rPr>
                <w:rFonts w:ascii="Garamond" w:eastAsia="Times New Roman" w:hAnsi="Garamond" w:cs="Arial"/>
                <w:b/>
                <w:bCs/>
                <w:color w:val="000000"/>
                <w:sz w:val="20"/>
                <w:szCs w:val="20"/>
              </w:rPr>
              <w:t>płynności:</w:t>
            </w:r>
          </w:p>
        </w:tc>
        <w:tc>
          <w:tcPr>
            <w:tcW w:w="1701" w:type="dxa"/>
            <w:tcBorders>
              <w:top w:val="single" w:sz="8" w:space="0" w:color="auto"/>
              <w:left w:val="single" w:sz="4" w:space="0" w:color="auto"/>
              <w:bottom w:val="single" w:sz="8" w:space="0" w:color="auto"/>
              <w:right w:val="single" w:sz="4" w:space="0" w:color="auto"/>
            </w:tcBorders>
            <w:shd w:val="clear" w:color="auto" w:fill="FFFFFF" w:themeFill="background1"/>
            <w:vAlign w:val="center"/>
            <w:hideMark/>
          </w:tcPr>
          <w:p w:rsidR="009E40FC" w:rsidRPr="00CB2E0F" w:rsidRDefault="009E40FC" w:rsidP="00AA4E0E">
            <w:pPr>
              <w:spacing w:after="0" w:line="240" w:lineRule="auto"/>
              <w:jc w:val="center"/>
              <w:rPr>
                <w:rFonts w:ascii="Garamond" w:eastAsia="Times New Roman" w:hAnsi="Garamond" w:cs="Arial"/>
                <w:b/>
                <w:bCs/>
              </w:rPr>
            </w:pPr>
            <w:r>
              <w:rPr>
                <w:rFonts w:ascii="Garamond" w:eastAsia="Times New Roman" w:hAnsi="Garamond" w:cs="Arial"/>
                <w:b/>
                <w:bCs/>
              </w:rPr>
              <w:t>12</w:t>
            </w:r>
          </w:p>
        </w:tc>
        <w:tc>
          <w:tcPr>
            <w:tcW w:w="1701"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rsidR="009E40FC" w:rsidRPr="00CB2E0F" w:rsidRDefault="009E40FC" w:rsidP="00AA4E0E">
            <w:pPr>
              <w:spacing w:after="0" w:line="240" w:lineRule="auto"/>
              <w:jc w:val="center"/>
              <w:rPr>
                <w:rFonts w:ascii="Garamond" w:eastAsia="Times New Roman" w:hAnsi="Garamond" w:cs="Arial"/>
                <w:b/>
                <w:bCs/>
              </w:rPr>
            </w:pPr>
            <w:r>
              <w:rPr>
                <w:rFonts w:ascii="Garamond" w:eastAsia="Times New Roman" w:hAnsi="Garamond" w:cs="Arial"/>
                <w:b/>
                <w:bCs/>
              </w:rPr>
              <w:t>25</w:t>
            </w:r>
          </w:p>
        </w:tc>
      </w:tr>
    </w:tbl>
    <w:p w:rsidR="009E40FC" w:rsidRDefault="009E40FC" w:rsidP="009E40FC">
      <w:pPr>
        <w:pStyle w:val="NormalnyWeb"/>
        <w:shd w:val="clear" w:color="auto" w:fill="FFFFFF"/>
        <w:spacing w:before="0" w:beforeAutospacing="0" w:after="225" w:afterAutospacing="0" w:line="276" w:lineRule="auto"/>
        <w:jc w:val="both"/>
        <w:rPr>
          <w:rFonts w:asciiTheme="minorHAnsi" w:hAnsiTheme="minorHAnsi" w:cs="Arial"/>
          <w:bCs/>
          <w:sz w:val="22"/>
          <w:szCs w:val="22"/>
        </w:rPr>
      </w:pPr>
    </w:p>
    <w:p w:rsidR="00CF2498" w:rsidRDefault="00CF2498" w:rsidP="009E40FC">
      <w:pPr>
        <w:pStyle w:val="NormalnyWeb"/>
        <w:shd w:val="clear" w:color="auto" w:fill="FFFFFF"/>
        <w:spacing w:before="0" w:beforeAutospacing="0" w:after="225" w:afterAutospacing="0" w:line="276" w:lineRule="auto"/>
        <w:jc w:val="both"/>
        <w:rPr>
          <w:rFonts w:asciiTheme="minorHAnsi" w:hAnsiTheme="minorHAnsi" w:cs="Arial"/>
          <w:bCs/>
          <w:sz w:val="22"/>
          <w:szCs w:val="22"/>
        </w:rPr>
      </w:pPr>
    </w:p>
    <w:p w:rsidR="00CF2498" w:rsidRPr="007F4721" w:rsidRDefault="00CF2498" w:rsidP="009E40FC">
      <w:pPr>
        <w:pStyle w:val="NormalnyWeb"/>
        <w:shd w:val="clear" w:color="auto" w:fill="FFFFFF"/>
        <w:spacing w:before="0" w:beforeAutospacing="0" w:after="225" w:afterAutospacing="0" w:line="276" w:lineRule="auto"/>
        <w:jc w:val="both"/>
        <w:rPr>
          <w:rFonts w:asciiTheme="minorHAnsi" w:hAnsiTheme="minorHAnsi" w:cs="Arial"/>
          <w:bCs/>
          <w:sz w:val="22"/>
          <w:szCs w:val="22"/>
        </w:rPr>
      </w:pPr>
    </w:p>
    <w:p w:rsidR="009E40FC"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color w:val="000000"/>
          <w:sz w:val="22"/>
          <w:szCs w:val="22"/>
        </w:rPr>
        <w:lastRenderedPageBreak/>
        <w:t>-</w:t>
      </w:r>
      <w:r>
        <w:rPr>
          <w:rFonts w:asciiTheme="minorHAnsi" w:hAnsiTheme="minorHAnsi" w:cs="Arial"/>
          <w:b/>
          <w:color w:val="000000"/>
          <w:sz w:val="22"/>
          <w:szCs w:val="22"/>
        </w:rPr>
        <w:t xml:space="preserve"> wskaźniki płynności finansowej – </w:t>
      </w:r>
      <w:r>
        <w:rPr>
          <w:rFonts w:asciiTheme="minorHAnsi" w:hAnsiTheme="minorHAnsi" w:cs="Arial"/>
          <w:color w:val="000000"/>
          <w:sz w:val="22"/>
          <w:szCs w:val="22"/>
        </w:rPr>
        <w:t>ocena 12 punktów/na max.25 punktów.</w:t>
      </w:r>
    </w:p>
    <w:p w:rsidR="009E40FC" w:rsidRPr="00573E91"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sz w:val="22"/>
          <w:szCs w:val="22"/>
        </w:rPr>
      </w:pPr>
      <w:r>
        <w:rPr>
          <w:rFonts w:asciiTheme="minorHAnsi" w:hAnsiTheme="minorHAnsi" w:cs="Arial"/>
          <w:color w:val="000000"/>
          <w:sz w:val="22"/>
          <w:szCs w:val="22"/>
        </w:rPr>
        <w:t xml:space="preserve">a) wskaźniki bieżącej płynności – określa zdolność podmiotu do spłaty zobowiązań krótkoterminowych poprzez upłynnienie wszystkich środków obrotowych.  Wysoka wartość wskaźnika oznacza nadpłynność, czyli nieefektywne gospodarowanie posiadanymi środkami: nadmierne zapasy, powstanie należności przeterminowanych. Niska wartość wskaźnika wskazuje </w:t>
      </w:r>
      <w:r w:rsidR="001A56E4">
        <w:rPr>
          <w:rFonts w:asciiTheme="minorHAnsi" w:hAnsiTheme="minorHAnsi" w:cs="Arial"/>
          <w:color w:val="000000"/>
          <w:sz w:val="22"/>
          <w:szCs w:val="22"/>
        </w:rPr>
        <w:br/>
      </w:r>
      <w:r>
        <w:rPr>
          <w:rFonts w:asciiTheme="minorHAnsi" w:hAnsiTheme="minorHAnsi" w:cs="Arial"/>
          <w:color w:val="000000"/>
          <w:sz w:val="22"/>
          <w:szCs w:val="22"/>
        </w:rPr>
        <w:t xml:space="preserve">na brak </w:t>
      </w:r>
      <w:r w:rsidRPr="00573E91">
        <w:rPr>
          <w:rFonts w:asciiTheme="minorHAnsi" w:hAnsiTheme="minorHAnsi" w:cs="Arial"/>
          <w:sz w:val="22"/>
          <w:szCs w:val="22"/>
        </w:rPr>
        <w:t xml:space="preserve">zdolności do regulowania bieżących zobowiązań. </w:t>
      </w:r>
    </w:p>
    <w:p w:rsidR="009E40FC" w:rsidRPr="00573E91"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sz w:val="22"/>
          <w:szCs w:val="22"/>
        </w:rPr>
      </w:pPr>
      <w:r w:rsidRPr="00573E91">
        <w:rPr>
          <w:rFonts w:asciiTheme="minorHAnsi" w:hAnsiTheme="minorHAnsi" w:cs="Arial"/>
          <w:sz w:val="22"/>
          <w:szCs w:val="22"/>
        </w:rPr>
        <w:t>Optymalna wartość wskaźnika kształtuje się w przedziale powyżej 1,50 do 3,00</w:t>
      </w:r>
      <w:r w:rsidR="00CF2498">
        <w:rPr>
          <w:rFonts w:asciiTheme="minorHAnsi" w:hAnsiTheme="minorHAnsi" w:cs="Arial"/>
          <w:sz w:val="22"/>
          <w:szCs w:val="22"/>
        </w:rPr>
        <w:t>.</w:t>
      </w:r>
    </w:p>
    <w:p w:rsidR="009E40FC" w:rsidRPr="008A7DA7"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color w:val="FF0000"/>
          <w:sz w:val="22"/>
          <w:szCs w:val="22"/>
        </w:rPr>
      </w:pPr>
      <w:r w:rsidRPr="008A7DA7">
        <w:rPr>
          <w:rFonts w:asciiTheme="minorHAnsi" w:hAnsiTheme="minorHAnsi" w:cs="Arial"/>
          <w:sz w:val="22"/>
          <w:szCs w:val="22"/>
        </w:rPr>
        <w:t>Wskaźnik Szpitala wynosi 0,98%, jest to niska wartość wskaźnika, świadcząca o bardzo ograniczonej zdolności Szpitala do regulowania bieżących zobowiązań</w:t>
      </w:r>
      <w:r w:rsidRPr="008A7DA7">
        <w:rPr>
          <w:rFonts w:asciiTheme="minorHAnsi" w:hAnsiTheme="minorHAnsi" w:cs="Arial"/>
          <w:color w:val="FF0000"/>
          <w:sz w:val="22"/>
          <w:szCs w:val="22"/>
        </w:rPr>
        <w:t>.</w:t>
      </w:r>
    </w:p>
    <w:p w:rsidR="009E40FC" w:rsidRPr="00130123"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color w:val="FF0000"/>
          <w:sz w:val="22"/>
          <w:szCs w:val="22"/>
        </w:rPr>
      </w:pPr>
      <w:r w:rsidRPr="00130123">
        <w:rPr>
          <w:rFonts w:asciiTheme="minorHAnsi" w:hAnsiTheme="minorHAnsi" w:cs="Arial"/>
          <w:sz w:val="22"/>
          <w:szCs w:val="22"/>
        </w:rPr>
        <w:t>b) wskaźniki szybkiej płynności - określa zdolność podmiotu do spłaty zobowiązań krótkoterminowych najbardziej płynnymi aktywami, tj. krótkoterminowymi należnościami i aktywami finansowymi.</w:t>
      </w:r>
      <w:r w:rsidRPr="00130123">
        <w:rPr>
          <w:rFonts w:asciiTheme="minorHAnsi" w:hAnsiTheme="minorHAnsi" w:cs="Arial"/>
          <w:color w:val="FF0000"/>
          <w:sz w:val="22"/>
          <w:szCs w:val="22"/>
        </w:rPr>
        <w:t xml:space="preserve">  </w:t>
      </w:r>
      <w:r w:rsidRPr="00130123">
        <w:rPr>
          <w:rFonts w:asciiTheme="minorHAnsi" w:hAnsiTheme="minorHAnsi" w:cs="Arial"/>
          <w:sz w:val="22"/>
          <w:szCs w:val="22"/>
        </w:rPr>
        <w:t xml:space="preserve">Wartość bezpieczna dla wskaźnika szybkiej płynności winna kształtować </w:t>
      </w:r>
      <w:r w:rsidR="001A56E4">
        <w:rPr>
          <w:rFonts w:asciiTheme="minorHAnsi" w:hAnsiTheme="minorHAnsi" w:cs="Arial"/>
          <w:sz w:val="22"/>
          <w:szCs w:val="22"/>
        </w:rPr>
        <w:br/>
      </w:r>
      <w:r w:rsidRPr="00130123">
        <w:rPr>
          <w:rFonts w:asciiTheme="minorHAnsi" w:hAnsiTheme="minorHAnsi" w:cs="Arial"/>
          <w:sz w:val="22"/>
          <w:szCs w:val="22"/>
        </w:rPr>
        <w:t>się w przedziale 1,0 – 1,2. Wskaźnik Szpitala wynosi 0,85%, co świadczy o ograniczonej zdolności Szpitala do regulowania zobowiązań krótkoterminowych łatwo upłynnianymi aktywami obrotowymi.</w:t>
      </w:r>
    </w:p>
    <w:tbl>
      <w:tblPr>
        <w:tblW w:w="9087" w:type="dxa"/>
        <w:tblInd w:w="55" w:type="dxa"/>
        <w:tblLayout w:type="fixed"/>
        <w:tblCellMar>
          <w:left w:w="70" w:type="dxa"/>
          <w:right w:w="70" w:type="dxa"/>
        </w:tblCellMar>
        <w:tblLook w:val="04A0" w:firstRow="1" w:lastRow="0" w:firstColumn="1" w:lastColumn="0" w:noHBand="0" w:noVBand="1"/>
      </w:tblPr>
      <w:tblGrid>
        <w:gridCol w:w="2000"/>
        <w:gridCol w:w="2693"/>
        <w:gridCol w:w="1701"/>
        <w:gridCol w:w="1418"/>
        <w:gridCol w:w="1275"/>
      </w:tblGrid>
      <w:tr w:rsidR="009E40FC" w:rsidRPr="00CB2E0F" w:rsidTr="00130123">
        <w:trPr>
          <w:trHeight w:val="645"/>
        </w:trPr>
        <w:tc>
          <w:tcPr>
            <w:tcW w:w="20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E40FC" w:rsidRPr="00CB2E0F" w:rsidRDefault="009E40FC" w:rsidP="00AA4E0E">
            <w:pPr>
              <w:spacing w:after="0" w:line="240" w:lineRule="auto"/>
              <w:jc w:val="center"/>
              <w:rPr>
                <w:rFonts w:ascii="Garamond" w:eastAsia="Times New Roman" w:hAnsi="Garamond" w:cs="Arial"/>
                <w:b/>
                <w:bCs/>
                <w:sz w:val="20"/>
                <w:szCs w:val="20"/>
              </w:rPr>
            </w:pPr>
            <w:r w:rsidRPr="00CB2E0F">
              <w:rPr>
                <w:rFonts w:ascii="Garamond" w:eastAsia="Times New Roman" w:hAnsi="Garamond" w:cs="Arial"/>
                <w:b/>
                <w:bCs/>
                <w:sz w:val="20"/>
                <w:szCs w:val="20"/>
              </w:rPr>
              <w:t>WSKAŹNIKI EFEKTYWNOŚCI</w:t>
            </w:r>
          </w:p>
        </w:tc>
        <w:tc>
          <w:tcPr>
            <w:tcW w:w="2693" w:type="dxa"/>
            <w:tcBorders>
              <w:top w:val="single" w:sz="8" w:space="0" w:color="auto"/>
              <w:left w:val="nil"/>
              <w:bottom w:val="single" w:sz="4" w:space="0" w:color="auto"/>
              <w:right w:val="nil"/>
            </w:tcBorders>
            <w:shd w:val="clear" w:color="auto" w:fill="auto"/>
            <w:vAlign w:val="center"/>
            <w:hideMark/>
          </w:tcPr>
          <w:p w:rsidR="009E40FC" w:rsidRPr="00CB2E0F" w:rsidRDefault="009E40FC" w:rsidP="00AA4E0E">
            <w:pPr>
              <w:spacing w:after="0" w:line="240" w:lineRule="auto"/>
              <w:rPr>
                <w:rFonts w:ascii="Garamond" w:eastAsia="Times New Roman" w:hAnsi="Garamond" w:cs="Arial"/>
              </w:rPr>
            </w:pPr>
            <w:r w:rsidRPr="00CB2E0F">
              <w:rPr>
                <w:rFonts w:ascii="Garamond" w:eastAsia="Times New Roman" w:hAnsi="Garamond" w:cs="Arial"/>
              </w:rPr>
              <w:t xml:space="preserve">Wskaźnik rotacji należności                                     (w dniach)                           </w:t>
            </w:r>
          </w:p>
        </w:tc>
        <w:tc>
          <w:tcPr>
            <w:tcW w:w="1701"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22</w:t>
            </w:r>
          </w:p>
        </w:tc>
        <w:tc>
          <w:tcPr>
            <w:tcW w:w="1418" w:type="dxa"/>
            <w:tcBorders>
              <w:top w:val="single" w:sz="8" w:space="0" w:color="auto"/>
              <w:left w:val="nil"/>
              <w:bottom w:val="single" w:sz="4" w:space="0" w:color="auto"/>
              <w:right w:val="single" w:sz="4" w:space="0" w:color="auto"/>
            </w:tcBorders>
            <w:shd w:val="clear" w:color="000000" w:fill="FFFFFF"/>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3</w:t>
            </w:r>
          </w:p>
        </w:tc>
        <w:tc>
          <w:tcPr>
            <w:tcW w:w="1275" w:type="dxa"/>
            <w:tcBorders>
              <w:top w:val="single" w:sz="8" w:space="0" w:color="auto"/>
              <w:left w:val="single" w:sz="4" w:space="0" w:color="auto"/>
              <w:bottom w:val="single" w:sz="4" w:space="0" w:color="auto"/>
              <w:right w:val="single" w:sz="8" w:space="0" w:color="auto"/>
            </w:tcBorders>
            <w:shd w:val="clear" w:color="000000" w:fill="FFFFFF"/>
            <w:vAlign w:val="center"/>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3</w:t>
            </w:r>
          </w:p>
        </w:tc>
      </w:tr>
      <w:tr w:rsidR="009E40FC" w:rsidRPr="00CB2E0F" w:rsidTr="00130123">
        <w:trPr>
          <w:trHeight w:val="660"/>
        </w:trPr>
        <w:tc>
          <w:tcPr>
            <w:tcW w:w="20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40FC" w:rsidRPr="00CB2E0F" w:rsidRDefault="009E40FC" w:rsidP="00AA4E0E">
            <w:pPr>
              <w:spacing w:after="0" w:line="240" w:lineRule="auto"/>
              <w:rPr>
                <w:rFonts w:ascii="Garamond" w:eastAsia="Times New Roman" w:hAnsi="Garamond" w:cs="Arial"/>
                <w:b/>
                <w:bCs/>
                <w:sz w:val="20"/>
                <w:szCs w:val="20"/>
              </w:rPr>
            </w:pPr>
          </w:p>
        </w:tc>
        <w:tc>
          <w:tcPr>
            <w:tcW w:w="2693" w:type="dxa"/>
            <w:tcBorders>
              <w:top w:val="nil"/>
              <w:left w:val="nil"/>
              <w:bottom w:val="single" w:sz="4" w:space="0" w:color="auto"/>
              <w:right w:val="nil"/>
            </w:tcBorders>
            <w:shd w:val="clear" w:color="auto" w:fill="auto"/>
            <w:vAlign w:val="center"/>
            <w:hideMark/>
          </w:tcPr>
          <w:p w:rsidR="009E40FC" w:rsidRPr="00CB2E0F" w:rsidRDefault="009E40FC" w:rsidP="00AA4E0E">
            <w:pPr>
              <w:spacing w:after="0" w:line="240" w:lineRule="auto"/>
              <w:rPr>
                <w:rFonts w:ascii="Garamond" w:eastAsia="Times New Roman" w:hAnsi="Garamond" w:cs="Arial"/>
              </w:rPr>
            </w:pPr>
            <w:r w:rsidRPr="00CB2E0F">
              <w:rPr>
                <w:rFonts w:ascii="Garamond" w:eastAsia="Times New Roman" w:hAnsi="Garamond" w:cs="Arial"/>
              </w:rPr>
              <w:t>Wskaźnik rotacji zobowiązań                                          (w dniach)</w:t>
            </w:r>
          </w:p>
        </w:tc>
        <w:tc>
          <w:tcPr>
            <w:tcW w:w="1701" w:type="dxa"/>
            <w:tcBorders>
              <w:top w:val="nil"/>
              <w:left w:val="single" w:sz="8" w:space="0" w:color="auto"/>
              <w:bottom w:val="single" w:sz="4" w:space="0" w:color="auto"/>
              <w:right w:val="single" w:sz="4" w:space="0" w:color="auto"/>
            </w:tcBorders>
            <w:shd w:val="clear" w:color="auto" w:fill="auto"/>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12</w:t>
            </w:r>
          </w:p>
        </w:tc>
        <w:tc>
          <w:tcPr>
            <w:tcW w:w="1418" w:type="dxa"/>
            <w:tcBorders>
              <w:top w:val="nil"/>
              <w:left w:val="nil"/>
              <w:bottom w:val="single" w:sz="4" w:space="0" w:color="auto"/>
              <w:right w:val="single" w:sz="4" w:space="0" w:color="auto"/>
            </w:tcBorders>
            <w:shd w:val="clear" w:color="000000" w:fill="FFFFFF"/>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7</w:t>
            </w:r>
          </w:p>
        </w:tc>
        <w:tc>
          <w:tcPr>
            <w:tcW w:w="1275" w:type="dxa"/>
            <w:tcBorders>
              <w:top w:val="nil"/>
              <w:left w:val="single" w:sz="4" w:space="0" w:color="auto"/>
              <w:bottom w:val="single" w:sz="4" w:space="0" w:color="auto"/>
              <w:right w:val="single" w:sz="8" w:space="0" w:color="auto"/>
            </w:tcBorders>
            <w:shd w:val="clear" w:color="000000" w:fill="FFFFFF"/>
            <w:vAlign w:val="center"/>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7</w:t>
            </w:r>
          </w:p>
        </w:tc>
      </w:tr>
      <w:tr w:rsidR="009E40FC" w:rsidRPr="00CB2E0F" w:rsidTr="00130123">
        <w:trPr>
          <w:trHeight w:val="390"/>
        </w:trPr>
        <w:tc>
          <w:tcPr>
            <w:tcW w:w="4693" w:type="dxa"/>
            <w:gridSpan w:val="2"/>
            <w:tcBorders>
              <w:top w:val="single" w:sz="8" w:space="0" w:color="auto"/>
              <w:left w:val="nil"/>
              <w:bottom w:val="nil"/>
              <w:right w:val="nil"/>
            </w:tcBorders>
            <w:shd w:val="clear" w:color="000000" w:fill="FFFFFF"/>
            <w:noWrap/>
            <w:vAlign w:val="center"/>
            <w:hideMark/>
          </w:tcPr>
          <w:p w:rsidR="009E40FC" w:rsidRPr="00CB2E0F" w:rsidRDefault="009E40FC" w:rsidP="00AA4E0E">
            <w:pPr>
              <w:spacing w:after="0" w:line="240" w:lineRule="auto"/>
              <w:rPr>
                <w:rFonts w:ascii="Garamond" w:eastAsia="Times New Roman" w:hAnsi="Garamond" w:cs="Arial"/>
                <w:b/>
                <w:bCs/>
                <w:sz w:val="20"/>
                <w:szCs w:val="20"/>
              </w:rPr>
            </w:pPr>
            <w:r w:rsidRPr="00CB2E0F">
              <w:rPr>
                <w:rFonts w:ascii="Garamond" w:eastAsia="Times New Roman" w:hAnsi="Garamond" w:cs="Arial"/>
                <w:b/>
                <w:bCs/>
                <w:sz w:val="20"/>
                <w:szCs w:val="20"/>
              </w:rPr>
              <w:t> </w:t>
            </w:r>
          </w:p>
        </w:tc>
        <w:tc>
          <w:tcPr>
            <w:tcW w:w="1701"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9E40FC" w:rsidRPr="00CB2E0F" w:rsidRDefault="009E40FC" w:rsidP="00AA4E0E">
            <w:pPr>
              <w:spacing w:after="0" w:line="240" w:lineRule="auto"/>
              <w:rPr>
                <w:rFonts w:ascii="Garamond" w:eastAsia="Times New Roman" w:hAnsi="Garamond" w:cs="Arial"/>
                <w:b/>
                <w:bCs/>
                <w:color w:val="000000"/>
                <w:sz w:val="20"/>
                <w:szCs w:val="20"/>
              </w:rPr>
            </w:pPr>
            <w:r>
              <w:rPr>
                <w:rFonts w:ascii="Garamond" w:eastAsia="Times New Roman" w:hAnsi="Garamond" w:cs="Arial"/>
                <w:b/>
                <w:bCs/>
                <w:color w:val="000000"/>
                <w:sz w:val="20"/>
                <w:szCs w:val="20"/>
              </w:rPr>
              <w:t>Razem wskaźniki efektywności:</w:t>
            </w:r>
          </w:p>
        </w:tc>
        <w:tc>
          <w:tcPr>
            <w:tcW w:w="1418" w:type="dxa"/>
            <w:tcBorders>
              <w:top w:val="single" w:sz="8" w:space="0" w:color="auto"/>
              <w:left w:val="single" w:sz="4" w:space="0" w:color="auto"/>
              <w:bottom w:val="single" w:sz="8" w:space="0" w:color="auto"/>
              <w:right w:val="single" w:sz="4" w:space="0" w:color="auto"/>
            </w:tcBorders>
            <w:shd w:val="clear" w:color="auto" w:fill="auto"/>
            <w:vAlign w:val="center"/>
            <w:hideMark/>
          </w:tcPr>
          <w:p w:rsidR="009E40FC" w:rsidRPr="00CB2E0F" w:rsidRDefault="009E40FC" w:rsidP="00AA4E0E">
            <w:pPr>
              <w:spacing w:after="0" w:line="240" w:lineRule="auto"/>
              <w:jc w:val="center"/>
              <w:rPr>
                <w:rFonts w:ascii="Garamond" w:eastAsia="Times New Roman" w:hAnsi="Garamond" w:cs="Arial"/>
                <w:b/>
                <w:bCs/>
              </w:rPr>
            </w:pPr>
            <w:r>
              <w:rPr>
                <w:rFonts w:ascii="Garamond" w:eastAsia="Times New Roman" w:hAnsi="Garamond" w:cs="Arial"/>
                <w:b/>
                <w:bCs/>
              </w:rPr>
              <w:t>10</w:t>
            </w:r>
          </w:p>
        </w:tc>
        <w:tc>
          <w:tcPr>
            <w:tcW w:w="1275" w:type="dxa"/>
            <w:tcBorders>
              <w:top w:val="single" w:sz="8" w:space="0" w:color="auto"/>
              <w:left w:val="single" w:sz="4" w:space="0" w:color="auto"/>
              <w:bottom w:val="single" w:sz="8" w:space="0" w:color="auto"/>
              <w:right w:val="single" w:sz="8" w:space="0" w:color="auto"/>
            </w:tcBorders>
            <w:shd w:val="clear" w:color="auto" w:fill="auto"/>
            <w:vAlign w:val="center"/>
          </w:tcPr>
          <w:p w:rsidR="009E40FC" w:rsidRPr="00CB2E0F" w:rsidRDefault="009E40FC" w:rsidP="00AA4E0E">
            <w:pPr>
              <w:spacing w:after="0" w:line="240" w:lineRule="auto"/>
              <w:jc w:val="center"/>
              <w:rPr>
                <w:rFonts w:ascii="Garamond" w:eastAsia="Times New Roman" w:hAnsi="Garamond" w:cs="Arial"/>
                <w:b/>
                <w:bCs/>
              </w:rPr>
            </w:pPr>
            <w:r>
              <w:rPr>
                <w:rFonts w:ascii="Garamond" w:eastAsia="Times New Roman" w:hAnsi="Garamond" w:cs="Arial"/>
                <w:b/>
                <w:bCs/>
              </w:rPr>
              <w:t>10</w:t>
            </w:r>
          </w:p>
        </w:tc>
      </w:tr>
    </w:tbl>
    <w:p w:rsidR="009E40FC" w:rsidRDefault="009E40FC" w:rsidP="009E40FC">
      <w:pPr>
        <w:pStyle w:val="NormalnyWeb"/>
        <w:shd w:val="clear" w:color="auto" w:fill="FFFFFF"/>
        <w:spacing w:before="0" w:beforeAutospacing="0" w:after="225" w:afterAutospacing="0" w:line="276" w:lineRule="auto"/>
        <w:jc w:val="both"/>
        <w:rPr>
          <w:rFonts w:asciiTheme="minorHAnsi" w:hAnsiTheme="minorHAnsi" w:cs="Arial"/>
          <w:b/>
          <w:color w:val="000000"/>
          <w:sz w:val="22"/>
          <w:szCs w:val="22"/>
          <w:u w:val="single"/>
        </w:rPr>
      </w:pPr>
    </w:p>
    <w:p w:rsidR="009E40FC"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b/>
          <w:color w:val="000000"/>
          <w:sz w:val="22"/>
          <w:szCs w:val="22"/>
        </w:rPr>
        <w:t xml:space="preserve">- wskaźniki efektywności - </w:t>
      </w:r>
      <w:r>
        <w:rPr>
          <w:rFonts w:asciiTheme="minorHAnsi" w:hAnsiTheme="minorHAnsi" w:cs="Arial"/>
          <w:color w:val="000000"/>
          <w:sz w:val="22"/>
          <w:szCs w:val="22"/>
        </w:rPr>
        <w:t>ocena 10 punktów/na max.10 punktów</w:t>
      </w:r>
    </w:p>
    <w:p w:rsidR="009E40FC"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color w:val="000000"/>
          <w:sz w:val="22"/>
          <w:szCs w:val="22"/>
        </w:rPr>
        <w:t xml:space="preserve">a) wskaźnik rotacji należności – określa w ciągu ilu dni następuje spływ należności za świadczone usługi.  Im wyższy poziom wskaźnika, tym podmiot ma  większe trudności ze ściągalnością swoich należności, co może obniżyć zdolność do terminowego regulowania zobowiązań. Wskaźnik rotacji należności  </w:t>
      </w:r>
      <w:r w:rsidR="00C86827">
        <w:rPr>
          <w:rFonts w:asciiTheme="minorHAnsi" w:hAnsiTheme="minorHAnsi" w:cs="Arial"/>
          <w:color w:val="000000"/>
          <w:sz w:val="22"/>
          <w:szCs w:val="22"/>
        </w:rPr>
        <w:t>Szpitala wynosi 22 dni i świadczy o prawidłowym cyklu oczekiwania na należności, niepowodujących zatorów płatniczych.</w:t>
      </w:r>
    </w:p>
    <w:p w:rsidR="009E40FC"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color w:val="000000"/>
          <w:sz w:val="22"/>
          <w:szCs w:val="22"/>
        </w:rPr>
        <w:t>b) wskaźnik rotacji zobowiązań - określa okres, jaki jest potrzebny podmiotowi do spłacenia swoich zobowiązań krótkoterminowych. W roku 2016 wskaźnik rotacji zobowiązań wynosi 12 dni</w:t>
      </w:r>
      <w:r w:rsidR="00C86827">
        <w:rPr>
          <w:rFonts w:asciiTheme="minorHAnsi" w:hAnsiTheme="minorHAnsi" w:cs="Arial"/>
          <w:color w:val="000000"/>
          <w:sz w:val="22"/>
          <w:szCs w:val="22"/>
        </w:rPr>
        <w:t xml:space="preserve"> i jest następstwem połączenia dwóch Szpitali dla których organem założycielskim jest Gmina </w:t>
      </w:r>
      <w:r w:rsidR="001A56E4">
        <w:rPr>
          <w:rFonts w:asciiTheme="minorHAnsi" w:hAnsiTheme="minorHAnsi" w:cs="Arial"/>
          <w:color w:val="000000"/>
          <w:sz w:val="22"/>
          <w:szCs w:val="22"/>
        </w:rPr>
        <w:br/>
      </w:r>
      <w:r w:rsidR="00C86827">
        <w:rPr>
          <w:rFonts w:asciiTheme="minorHAnsi" w:hAnsiTheme="minorHAnsi" w:cs="Arial"/>
          <w:color w:val="000000"/>
          <w:sz w:val="22"/>
          <w:szCs w:val="22"/>
        </w:rPr>
        <w:t>i konsekwencją szybkiego regulowania zobowiązań wskutek zaciągniętej pożyczki.</w:t>
      </w:r>
    </w:p>
    <w:p w:rsidR="009E40FC" w:rsidRDefault="009E40FC" w:rsidP="009E40FC">
      <w:pPr>
        <w:pStyle w:val="NormalnyWeb"/>
        <w:shd w:val="clear" w:color="auto" w:fill="FFFFFF"/>
        <w:spacing w:before="0" w:beforeAutospacing="0" w:after="225" w:afterAutospacing="0" w:line="360" w:lineRule="auto"/>
        <w:ind w:firstLine="708"/>
        <w:contextualSpacing/>
        <w:jc w:val="both"/>
        <w:rPr>
          <w:rFonts w:asciiTheme="minorHAnsi" w:hAnsiTheme="minorHAnsi" w:cs="Arial"/>
          <w:color w:val="000000"/>
          <w:sz w:val="22"/>
          <w:szCs w:val="22"/>
        </w:rPr>
      </w:pPr>
      <w:r>
        <w:rPr>
          <w:rFonts w:asciiTheme="minorHAnsi" w:hAnsiTheme="minorHAnsi" w:cs="Arial"/>
          <w:color w:val="000000"/>
          <w:sz w:val="22"/>
          <w:szCs w:val="22"/>
        </w:rPr>
        <w:t xml:space="preserve">Wskaźniki te opisują efektywność przyjętej polityki zarządzania przepływami pieniężnymi. Optymalną jest sytuacja, gdy wskaźnik rotacji zobowiązań jest wyższy lub równy wskaźnikowi rotacji należności. </w:t>
      </w:r>
    </w:p>
    <w:p w:rsidR="009E40FC" w:rsidRDefault="009E40FC" w:rsidP="009E40FC">
      <w:pPr>
        <w:pStyle w:val="NormalnyWeb"/>
        <w:shd w:val="clear" w:color="auto" w:fill="FFFFFF"/>
        <w:spacing w:before="0" w:beforeAutospacing="0" w:after="225" w:afterAutospacing="0" w:line="360" w:lineRule="auto"/>
        <w:ind w:firstLine="708"/>
        <w:contextualSpacing/>
        <w:jc w:val="both"/>
        <w:rPr>
          <w:rFonts w:asciiTheme="minorHAnsi" w:hAnsiTheme="minorHAnsi" w:cs="Arial"/>
          <w:color w:val="000000"/>
          <w:sz w:val="22"/>
          <w:szCs w:val="22"/>
        </w:rPr>
      </w:pPr>
    </w:p>
    <w:tbl>
      <w:tblPr>
        <w:tblW w:w="9229" w:type="dxa"/>
        <w:tblInd w:w="55" w:type="dxa"/>
        <w:tblLayout w:type="fixed"/>
        <w:tblCellMar>
          <w:left w:w="70" w:type="dxa"/>
          <w:right w:w="70" w:type="dxa"/>
        </w:tblCellMar>
        <w:tblLook w:val="04A0" w:firstRow="1" w:lastRow="0" w:firstColumn="1" w:lastColumn="0" w:noHBand="0" w:noVBand="1"/>
      </w:tblPr>
      <w:tblGrid>
        <w:gridCol w:w="1716"/>
        <w:gridCol w:w="3119"/>
        <w:gridCol w:w="1701"/>
        <w:gridCol w:w="1417"/>
        <w:gridCol w:w="1276"/>
      </w:tblGrid>
      <w:tr w:rsidR="009E40FC" w:rsidRPr="00CB2E0F" w:rsidTr="00130123">
        <w:trPr>
          <w:trHeight w:val="600"/>
        </w:trPr>
        <w:tc>
          <w:tcPr>
            <w:tcW w:w="17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E40FC" w:rsidRPr="00CB2E0F" w:rsidRDefault="009E40FC" w:rsidP="00AA4E0E">
            <w:pPr>
              <w:spacing w:after="0" w:line="240" w:lineRule="auto"/>
              <w:jc w:val="center"/>
              <w:rPr>
                <w:rFonts w:ascii="Garamond" w:eastAsia="Times New Roman" w:hAnsi="Garamond" w:cs="Arial"/>
                <w:b/>
                <w:bCs/>
                <w:sz w:val="20"/>
                <w:szCs w:val="20"/>
              </w:rPr>
            </w:pPr>
            <w:r w:rsidRPr="00CB2E0F">
              <w:rPr>
                <w:rFonts w:ascii="Garamond" w:eastAsia="Times New Roman" w:hAnsi="Garamond" w:cs="Arial"/>
                <w:b/>
                <w:bCs/>
                <w:sz w:val="20"/>
                <w:szCs w:val="20"/>
              </w:rPr>
              <w:lastRenderedPageBreak/>
              <w:t>WSKAŹNIKI ZADŁUŻENIA</w:t>
            </w:r>
          </w:p>
        </w:tc>
        <w:tc>
          <w:tcPr>
            <w:tcW w:w="3119" w:type="dxa"/>
            <w:tcBorders>
              <w:top w:val="single" w:sz="8" w:space="0" w:color="auto"/>
              <w:left w:val="nil"/>
              <w:bottom w:val="single" w:sz="4" w:space="0" w:color="auto"/>
              <w:right w:val="nil"/>
            </w:tcBorders>
            <w:shd w:val="clear" w:color="auto" w:fill="auto"/>
            <w:vAlign w:val="center"/>
            <w:hideMark/>
          </w:tcPr>
          <w:p w:rsidR="009E40FC" w:rsidRPr="00CB2E0F" w:rsidRDefault="009E40FC" w:rsidP="00AA4E0E">
            <w:pPr>
              <w:spacing w:after="0" w:line="240" w:lineRule="auto"/>
              <w:rPr>
                <w:rFonts w:ascii="Garamond" w:eastAsia="Times New Roman" w:hAnsi="Garamond" w:cs="Arial"/>
              </w:rPr>
            </w:pPr>
            <w:r w:rsidRPr="00CB2E0F">
              <w:rPr>
                <w:rFonts w:ascii="Garamond" w:eastAsia="Times New Roman" w:hAnsi="Garamond" w:cs="Arial"/>
              </w:rPr>
              <w:t xml:space="preserve">Wskaźnik zadłużenia aktywów (%)                          </w:t>
            </w:r>
          </w:p>
        </w:tc>
        <w:tc>
          <w:tcPr>
            <w:tcW w:w="1701"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59</w:t>
            </w:r>
          </w:p>
        </w:tc>
        <w:tc>
          <w:tcPr>
            <w:tcW w:w="1417" w:type="dxa"/>
            <w:tcBorders>
              <w:top w:val="single" w:sz="8" w:space="0" w:color="auto"/>
              <w:left w:val="nil"/>
              <w:bottom w:val="single" w:sz="4" w:space="0" w:color="auto"/>
              <w:right w:val="single" w:sz="4" w:space="0" w:color="auto"/>
            </w:tcBorders>
            <w:shd w:val="clear" w:color="000000" w:fill="FFFFFF"/>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8</w:t>
            </w:r>
          </w:p>
        </w:tc>
        <w:tc>
          <w:tcPr>
            <w:tcW w:w="1276" w:type="dxa"/>
            <w:tcBorders>
              <w:top w:val="single" w:sz="8" w:space="0" w:color="auto"/>
              <w:left w:val="single" w:sz="4" w:space="0" w:color="auto"/>
              <w:bottom w:val="single" w:sz="4" w:space="0" w:color="auto"/>
              <w:right w:val="single" w:sz="8" w:space="0" w:color="auto"/>
            </w:tcBorders>
            <w:shd w:val="clear" w:color="000000" w:fill="FFFFFF"/>
            <w:vAlign w:val="center"/>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10</w:t>
            </w:r>
          </w:p>
        </w:tc>
      </w:tr>
      <w:tr w:rsidR="009E40FC" w:rsidRPr="00CB2E0F" w:rsidTr="00130123">
        <w:trPr>
          <w:trHeight w:val="660"/>
        </w:trPr>
        <w:tc>
          <w:tcPr>
            <w:tcW w:w="171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40FC" w:rsidRPr="00CB2E0F" w:rsidRDefault="009E40FC" w:rsidP="00AA4E0E">
            <w:pPr>
              <w:spacing w:after="0" w:line="240" w:lineRule="auto"/>
              <w:rPr>
                <w:rFonts w:ascii="Garamond" w:eastAsia="Times New Roman" w:hAnsi="Garamond" w:cs="Arial"/>
                <w:b/>
                <w:bCs/>
                <w:sz w:val="20"/>
                <w:szCs w:val="20"/>
              </w:rPr>
            </w:pPr>
          </w:p>
        </w:tc>
        <w:tc>
          <w:tcPr>
            <w:tcW w:w="3119" w:type="dxa"/>
            <w:tcBorders>
              <w:top w:val="nil"/>
              <w:left w:val="nil"/>
              <w:bottom w:val="single" w:sz="4" w:space="0" w:color="auto"/>
              <w:right w:val="nil"/>
            </w:tcBorders>
            <w:shd w:val="clear" w:color="auto" w:fill="auto"/>
            <w:vAlign w:val="center"/>
            <w:hideMark/>
          </w:tcPr>
          <w:p w:rsidR="009E40FC" w:rsidRPr="00CB2E0F" w:rsidRDefault="009E40FC" w:rsidP="00AA4E0E">
            <w:pPr>
              <w:spacing w:after="0" w:line="240" w:lineRule="auto"/>
              <w:rPr>
                <w:rFonts w:ascii="Garamond" w:eastAsia="Times New Roman" w:hAnsi="Garamond" w:cs="Arial"/>
              </w:rPr>
            </w:pPr>
            <w:r w:rsidRPr="00CB2E0F">
              <w:rPr>
                <w:rFonts w:ascii="Garamond" w:eastAsia="Times New Roman" w:hAnsi="Garamond" w:cs="Arial"/>
              </w:rPr>
              <w:t>Wskaźnik wypłacalności</w:t>
            </w:r>
          </w:p>
        </w:tc>
        <w:tc>
          <w:tcPr>
            <w:tcW w:w="1701" w:type="dxa"/>
            <w:tcBorders>
              <w:top w:val="nil"/>
              <w:left w:val="single" w:sz="8" w:space="0" w:color="auto"/>
              <w:bottom w:val="single" w:sz="4" w:space="0" w:color="auto"/>
              <w:right w:val="single" w:sz="4" w:space="0" w:color="auto"/>
            </w:tcBorders>
            <w:shd w:val="clear" w:color="auto" w:fill="auto"/>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12,56</w:t>
            </w:r>
          </w:p>
        </w:tc>
        <w:tc>
          <w:tcPr>
            <w:tcW w:w="1417" w:type="dxa"/>
            <w:tcBorders>
              <w:top w:val="nil"/>
              <w:left w:val="nil"/>
              <w:bottom w:val="single" w:sz="4" w:space="0" w:color="auto"/>
              <w:right w:val="single" w:sz="4" w:space="0" w:color="auto"/>
            </w:tcBorders>
            <w:shd w:val="clear" w:color="000000" w:fill="FFFFFF"/>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0</w:t>
            </w:r>
          </w:p>
        </w:tc>
        <w:tc>
          <w:tcPr>
            <w:tcW w:w="1276" w:type="dxa"/>
            <w:tcBorders>
              <w:top w:val="nil"/>
              <w:left w:val="single" w:sz="4" w:space="0" w:color="auto"/>
              <w:bottom w:val="single" w:sz="4" w:space="0" w:color="auto"/>
              <w:right w:val="single" w:sz="8" w:space="0" w:color="auto"/>
            </w:tcBorders>
            <w:shd w:val="clear" w:color="000000" w:fill="FFFFFF"/>
            <w:vAlign w:val="center"/>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10</w:t>
            </w:r>
          </w:p>
        </w:tc>
      </w:tr>
      <w:tr w:rsidR="009E40FC" w:rsidRPr="00CB2E0F" w:rsidTr="00130123">
        <w:trPr>
          <w:trHeight w:val="540"/>
        </w:trPr>
        <w:tc>
          <w:tcPr>
            <w:tcW w:w="4835" w:type="dxa"/>
            <w:gridSpan w:val="2"/>
            <w:tcBorders>
              <w:top w:val="single" w:sz="8" w:space="0" w:color="auto"/>
              <w:left w:val="nil"/>
              <w:bottom w:val="nil"/>
              <w:right w:val="nil"/>
            </w:tcBorders>
            <w:shd w:val="clear" w:color="000000" w:fill="FFFFFF"/>
            <w:noWrap/>
            <w:vAlign w:val="center"/>
            <w:hideMark/>
          </w:tcPr>
          <w:p w:rsidR="009E40FC" w:rsidRPr="00CB2E0F" w:rsidRDefault="009E40FC" w:rsidP="00AA4E0E">
            <w:pPr>
              <w:spacing w:after="0" w:line="240" w:lineRule="auto"/>
              <w:rPr>
                <w:rFonts w:ascii="Garamond" w:eastAsia="Times New Roman" w:hAnsi="Garamond" w:cs="Arial"/>
                <w:b/>
                <w:bCs/>
                <w:sz w:val="20"/>
                <w:szCs w:val="20"/>
              </w:rPr>
            </w:pPr>
            <w:r w:rsidRPr="00CB2E0F">
              <w:rPr>
                <w:rFonts w:ascii="Garamond" w:eastAsia="Times New Roman" w:hAnsi="Garamond" w:cs="Arial"/>
                <w:b/>
                <w:bCs/>
                <w:sz w:val="20"/>
                <w:szCs w:val="20"/>
              </w:rPr>
              <w:t> </w:t>
            </w:r>
          </w:p>
        </w:tc>
        <w:tc>
          <w:tcPr>
            <w:tcW w:w="1701"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9E40FC" w:rsidRPr="00CB2E0F" w:rsidRDefault="009E40FC" w:rsidP="00AA4E0E">
            <w:pPr>
              <w:spacing w:after="0" w:line="240" w:lineRule="auto"/>
              <w:rPr>
                <w:rFonts w:ascii="Garamond" w:eastAsia="Times New Roman" w:hAnsi="Garamond" w:cs="Arial"/>
                <w:b/>
                <w:bCs/>
                <w:color w:val="000000"/>
                <w:sz w:val="20"/>
                <w:szCs w:val="20"/>
              </w:rPr>
            </w:pPr>
            <w:r>
              <w:rPr>
                <w:rFonts w:ascii="Garamond" w:eastAsia="Times New Roman" w:hAnsi="Garamond" w:cs="Arial"/>
                <w:b/>
                <w:bCs/>
                <w:color w:val="000000"/>
                <w:sz w:val="20"/>
                <w:szCs w:val="20"/>
              </w:rPr>
              <w:t>Razem wskaźniki zadłużenia:</w:t>
            </w:r>
          </w:p>
        </w:tc>
        <w:tc>
          <w:tcPr>
            <w:tcW w:w="1417" w:type="dxa"/>
            <w:tcBorders>
              <w:top w:val="single" w:sz="8" w:space="0" w:color="auto"/>
              <w:left w:val="single" w:sz="4" w:space="0" w:color="auto"/>
              <w:bottom w:val="single" w:sz="8" w:space="0" w:color="auto"/>
              <w:right w:val="single" w:sz="4" w:space="0" w:color="auto"/>
            </w:tcBorders>
            <w:shd w:val="clear" w:color="auto" w:fill="auto"/>
            <w:vAlign w:val="center"/>
            <w:hideMark/>
          </w:tcPr>
          <w:p w:rsidR="009E40FC" w:rsidRPr="00CB2E0F" w:rsidRDefault="009E40FC" w:rsidP="00AA4E0E">
            <w:pPr>
              <w:spacing w:after="0" w:line="240" w:lineRule="auto"/>
              <w:jc w:val="center"/>
              <w:rPr>
                <w:rFonts w:ascii="Garamond" w:eastAsia="Times New Roman" w:hAnsi="Garamond" w:cs="Arial"/>
                <w:b/>
                <w:bCs/>
              </w:rPr>
            </w:pPr>
            <w:r>
              <w:rPr>
                <w:rFonts w:ascii="Garamond" w:eastAsia="Times New Roman" w:hAnsi="Garamond" w:cs="Arial"/>
                <w:b/>
                <w:bCs/>
              </w:rPr>
              <w:t>8</w:t>
            </w:r>
          </w:p>
        </w:tc>
        <w:tc>
          <w:tcPr>
            <w:tcW w:w="1276" w:type="dxa"/>
            <w:tcBorders>
              <w:top w:val="single" w:sz="8" w:space="0" w:color="auto"/>
              <w:left w:val="single" w:sz="4" w:space="0" w:color="auto"/>
              <w:bottom w:val="single" w:sz="8" w:space="0" w:color="auto"/>
              <w:right w:val="single" w:sz="8" w:space="0" w:color="auto"/>
            </w:tcBorders>
            <w:shd w:val="clear" w:color="auto" w:fill="auto"/>
            <w:vAlign w:val="center"/>
          </w:tcPr>
          <w:p w:rsidR="009E40FC" w:rsidRPr="00CB2E0F" w:rsidRDefault="009E40FC" w:rsidP="00AA4E0E">
            <w:pPr>
              <w:spacing w:after="0" w:line="240" w:lineRule="auto"/>
              <w:jc w:val="center"/>
              <w:rPr>
                <w:rFonts w:ascii="Garamond" w:eastAsia="Times New Roman" w:hAnsi="Garamond" w:cs="Arial"/>
                <w:b/>
                <w:bCs/>
              </w:rPr>
            </w:pPr>
            <w:r>
              <w:rPr>
                <w:rFonts w:ascii="Garamond" w:eastAsia="Times New Roman" w:hAnsi="Garamond" w:cs="Arial"/>
                <w:b/>
                <w:bCs/>
              </w:rPr>
              <w:t>20</w:t>
            </w:r>
          </w:p>
        </w:tc>
      </w:tr>
    </w:tbl>
    <w:p w:rsidR="009E40FC" w:rsidRDefault="009E40FC" w:rsidP="009E40FC">
      <w:pPr>
        <w:pStyle w:val="NormalnyWeb"/>
        <w:shd w:val="clear" w:color="auto" w:fill="FFFFFF"/>
        <w:spacing w:before="0" w:beforeAutospacing="0" w:after="225" w:afterAutospacing="0" w:line="360" w:lineRule="auto"/>
        <w:ind w:firstLine="708"/>
        <w:contextualSpacing/>
        <w:jc w:val="both"/>
        <w:rPr>
          <w:rFonts w:asciiTheme="minorHAnsi" w:hAnsiTheme="minorHAnsi" w:cs="Arial"/>
          <w:color w:val="000000"/>
          <w:sz w:val="22"/>
          <w:szCs w:val="22"/>
        </w:rPr>
      </w:pPr>
      <w:r>
        <w:rPr>
          <w:rFonts w:asciiTheme="minorHAnsi" w:hAnsiTheme="minorHAnsi" w:cs="Arial"/>
          <w:color w:val="000000"/>
          <w:sz w:val="22"/>
          <w:szCs w:val="22"/>
        </w:rPr>
        <w:t xml:space="preserve"> </w:t>
      </w:r>
    </w:p>
    <w:p w:rsidR="009E40FC"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b/>
          <w:color w:val="000000"/>
          <w:sz w:val="22"/>
          <w:szCs w:val="22"/>
        </w:rPr>
        <w:t xml:space="preserve">- wskaźniki zadłużenia - </w:t>
      </w:r>
      <w:r>
        <w:rPr>
          <w:rFonts w:asciiTheme="minorHAnsi" w:hAnsiTheme="minorHAnsi" w:cs="Arial"/>
          <w:color w:val="000000"/>
          <w:sz w:val="22"/>
          <w:szCs w:val="22"/>
        </w:rPr>
        <w:t>ocena 8 punktów/na max.20 punktów.</w:t>
      </w:r>
    </w:p>
    <w:p w:rsidR="009E40FC" w:rsidRPr="00130123"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sidRPr="00130123">
        <w:rPr>
          <w:rFonts w:asciiTheme="minorHAnsi" w:hAnsiTheme="minorHAnsi" w:cs="Arial"/>
          <w:color w:val="000000"/>
          <w:sz w:val="22"/>
          <w:szCs w:val="22"/>
        </w:rPr>
        <w:t xml:space="preserve">a) wskaźnik zadłużenia aktywów (%) - informuje o stopniu finansowania aktywów kapitałami obcymi.  W roku 2016 wskaźnik ten dla Szpitala wynosi 59%, co oznacza, że jego aktywa są finansowane </w:t>
      </w:r>
      <w:r w:rsidR="001A56E4">
        <w:rPr>
          <w:rFonts w:asciiTheme="minorHAnsi" w:hAnsiTheme="minorHAnsi" w:cs="Arial"/>
          <w:color w:val="000000"/>
          <w:sz w:val="22"/>
          <w:szCs w:val="22"/>
        </w:rPr>
        <w:br/>
      </w:r>
      <w:r w:rsidRPr="00130123">
        <w:rPr>
          <w:rFonts w:asciiTheme="minorHAnsi" w:hAnsiTheme="minorHAnsi" w:cs="Arial"/>
          <w:color w:val="000000"/>
          <w:sz w:val="22"/>
          <w:szCs w:val="22"/>
        </w:rPr>
        <w:t>w większym stopniu ze źródeł zewnętrznych</w:t>
      </w:r>
      <w:r w:rsidR="00C86827">
        <w:rPr>
          <w:rFonts w:asciiTheme="minorHAnsi" w:hAnsiTheme="minorHAnsi" w:cs="Arial"/>
          <w:color w:val="000000"/>
          <w:sz w:val="22"/>
          <w:szCs w:val="22"/>
        </w:rPr>
        <w:t xml:space="preserve"> – z zaciągniętej pożyczki długoterminowej. Wysokość tego wskaźnika nie określa tzw. nadmiernego ryzyka kredytowego, gdyż takie ryzyko występuje przy wskaźniku pow. 67%.</w:t>
      </w:r>
    </w:p>
    <w:p w:rsidR="009E40FC"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sz w:val="22"/>
          <w:szCs w:val="22"/>
        </w:rPr>
      </w:pPr>
      <w:r w:rsidRPr="00130123">
        <w:rPr>
          <w:rFonts w:asciiTheme="minorHAnsi" w:hAnsiTheme="minorHAnsi" w:cs="Arial"/>
          <w:color w:val="000000"/>
          <w:sz w:val="22"/>
          <w:szCs w:val="22"/>
        </w:rPr>
        <w:t xml:space="preserve">b) wskaźnik wypłacalności – określa wielkość funduszy obcych przypadających na jednostkę funduszu własnego.  Wartość wskaźnika powyżej 4% wskazuje na możliwość utraty zdolności do regulowania zobowiązań. W roku 2016 wskaźnik ten dla Szpitala wynosi </w:t>
      </w:r>
      <w:r w:rsidRPr="00130123">
        <w:rPr>
          <w:rFonts w:asciiTheme="minorHAnsi" w:hAnsiTheme="minorHAnsi" w:cs="Arial"/>
          <w:sz w:val="22"/>
          <w:szCs w:val="22"/>
        </w:rPr>
        <w:t>12,56%, znacznie przewyższa optymalny próg co wskazuje na problemy w zakresie zdolności do regul</w:t>
      </w:r>
      <w:r w:rsidR="00C86827">
        <w:rPr>
          <w:rFonts w:asciiTheme="minorHAnsi" w:hAnsiTheme="minorHAnsi" w:cs="Arial"/>
          <w:sz w:val="22"/>
          <w:szCs w:val="22"/>
        </w:rPr>
        <w:t xml:space="preserve">owania zobowiązań przez Szpital </w:t>
      </w:r>
      <w:r w:rsidR="001A56E4">
        <w:rPr>
          <w:rFonts w:asciiTheme="minorHAnsi" w:hAnsiTheme="minorHAnsi" w:cs="Arial"/>
          <w:sz w:val="22"/>
          <w:szCs w:val="22"/>
        </w:rPr>
        <w:br/>
      </w:r>
      <w:r w:rsidR="00C86827">
        <w:rPr>
          <w:rFonts w:asciiTheme="minorHAnsi" w:hAnsiTheme="minorHAnsi" w:cs="Arial"/>
          <w:sz w:val="22"/>
          <w:szCs w:val="22"/>
        </w:rPr>
        <w:t>z funduszy własnych.</w:t>
      </w:r>
    </w:p>
    <w:p w:rsidR="00130123" w:rsidRPr="00130123" w:rsidRDefault="00130123" w:rsidP="009E40FC">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p>
    <w:p w:rsidR="009E40FC" w:rsidRDefault="009E40FC" w:rsidP="009E40FC">
      <w:pPr>
        <w:pStyle w:val="NormalnyWeb"/>
        <w:shd w:val="clear" w:color="auto" w:fill="FFFFFF"/>
        <w:spacing w:before="0" w:beforeAutospacing="0" w:after="225" w:afterAutospacing="0" w:line="276" w:lineRule="auto"/>
        <w:jc w:val="both"/>
        <w:rPr>
          <w:rFonts w:asciiTheme="minorHAnsi" w:hAnsiTheme="minorHAnsi" w:cs="Arial"/>
          <w:b/>
          <w:color w:val="000000"/>
          <w:sz w:val="22"/>
          <w:szCs w:val="22"/>
          <w:u w:val="single"/>
        </w:rPr>
      </w:pPr>
      <w:r>
        <w:rPr>
          <w:rFonts w:asciiTheme="minorHAnsi" w:hAnsiTheme="minorHAnsi" w:cs="Arial"/>
          <w:b/>
          <w:color w:val="000000"/>
          <w:sz w:val="22"/>
          <w:szCs w:val="22"/>
          <w:u w:val="single"/>
        </w:rPr>
        <w:t>Podsumowanie</w:t>
      </w:r>
    </w:p>
    <w:tbl>
      <w:tblPr>
        <w:tblW w:w="9229" w:type="dxa"/>
        <w:tblInd w:w="55" w:type="dxa"/>
        <w:tblLayout w:type="fixed"/>
        <w:tblCellMar>
          <w:left w:w="70" w:type="dxa"/>
          <w:right w:w="70" w:type="dxa"/>
        </w:tblCellMar>
        <w:tblLook w:val="04A0" w:firstRow="1" w:lastRow="0" w:firstColumn="1" w:lastColumn="0" w:noHBand="0" w:noVBand="1"/>
      </w:tblPr>
      <w:tblGrid>
        <w:gridCol w:w="4835"/>
        <w:gridCol w:w="1701"/>
        <w:gridCol w:w="1417"/>
        <w:gridCol w:w="1276"/>
      </w:tblGrid>
      <w:tr w:rsidR="009E40FC" w:rsidRPr="00CB2E0F" w:rsidTr="00130123">
        <w:trPr>
          <w:trHeight w:val="420"/>
        </w:trPr>
        <w:tc>
          <w:tcPr>
            <w:tcW w:w="4835"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E40FC" w:rsidRPr="00CB2E0F" w:rsidRDefault="009E40FC" w:rsidP="00AA4E0E">
            <w:pPr>
              <w:spacing w:after="0" w:line="240" w:lineRule="auto"/>
              <w:jc w:val="center"/>
              <w:rPr>
                <w:rFonts w:ascii="Garamond" w:eastAsia="Times New Roman" w:hAnsi="Garamond" w:cs="Arial"/>
                <w:b/>
                <w:bCs/>
              </w:rPr>
            </w:pPr>
            <w:r w:rsidRPr="00CB2E0F">
              <w:rPr>
                <w:rFonts w:ascii="Garamond" w:eastAsia="Times New Roman" w:hAnsi="Garamond" w:cs="Arial"/>
                <w:b/>
                <w:bCs/>
              </w:rPr>
              <w:t>Łączna wartość punktów</w:t>
            </w:r>
          </w:p>
        </w:tc>
        <w:tc>
          <w:tcPr>
            <w:tcW w:w="1701" w:type="dxa"/>
            <w:tcBorders>
              <w:top w:val="single" w:sz="8" w:space="0" w:color="auto"/>
              <w:left w:val="nil"/>
              <w:bottom w:val="single" w:sz="8" w:space="0" w:color="auto"/>
              <w:right w:val="single" w:sz="4" w:space="0" w:color="auto"/>
            </w:tcBorders>
            <w:shd w:val="clear" w:color="auto" w:fill="auto"/>
            <w:vAlign w:val="center"/>
            <w:hideMark/>
          </w:tcPr>
          <w:p w:rsidR="009E40FC" w:rsidRPr="00CB2E0F" w:rsidRDefault="009E40FC" w:rsidP="00AA4E0E">
            <w:pPr>
              <w:spacing w:after="0" w:line="240" w:lineRule="auto"/>
              <w:jc w:val="center"/>
              <w:rPr>
                <w:rFonts w:ascii="Garamond" w:eastAsia="Times New Roman" w:hAnsi="Garamond" w:cs="Arial"/>
                <w:b/>
                <w:bCs/>
              </w:rPr>
            </w:pPr>
            <w:r>
              <w:rPr>
                <w:rFonts w:ascii="Garamond" w:eastAsia="Times New Roman" w:hAnsi="Garamond" w:cs="Arial"/>
                <w:b/>
                <w:bCs/>
              </w:rPr>
              <w:t>uzyskanych</w:t>
            </w:r>
          </w:p>
        </w:tc>
        <w:tc>
          <w:tcPr>
            <w:tcW w:w="1417" w:type="dxa"/>
            <w:tcBorders>
              <w:top w:val="single" w:sz="8" w:space="0" w:color="auto"/>
              <w:left w:val="nil"/>
              <w:bottom w:val="single" w:sz="8" w:space="0" w:color="auto"/>
              <w:right w:val="single" w:sz="4" w:space="0" w:color="auto"/>
            </w:tcBorders>
            <w:shd w:val="clear" w:color="auto" w:fill="auto"/>
            <w:vAlign w:val="center"/>
          </w:tcPr>
          <w:p w:rsidR="009E40FC" w:rsidRPr="00CB2E0F" w:rsidRDefault="009E40FC" w:rsidP="00AA4E0E">
            <w:pPr>
              <w:spacing w:after="0" w:line="240" w:lineRule="auto"/>
              <w:jc w:val="center"/>
              <w:rPr>
                <w:rFonts w:ascii="Garamond" w:eastAsia="Times New Roman" w:hAnsi="Garamond" w:cs="Arial"/>
                <w:b/>
                <w:bCs/>
              </w:rPr>
            </w:pPr>
            <w:r>
              <w:rPr>
                <w:rFonts w:ascii="Garamond" w:eastAsia="Times New Roman" w:hAnsi="Garamond" w:cs="Arial"/>
                <w:b/>
                <w:bCs/>
              </w:rPr>
              <w:t>30</w:t>
            </w:r>
          </w:p>
        </w:tc>
        <w:tc>
          <w:tcPr>
            <w:tcW w:w="1276" w:type="dxa"/>
            <w:tcBorders>
              <w:top w:val="single" w:sz="8" w:space="0" w:color="auto"/>
              <w:left w:val="single" w:sz="4" w:space="0" w:color="auto"/>
              <w:bottom w:val="single" w:sz="8" w:space="0" w:color="auto"/>
              <w:right w:val="single" w:sz="8" w:space="0" w:color="000000"/>
            </w:tcBorders>
            <w:shd w:val="clear" w:color="auto" w:fill="auto"/>
            <w:vAlign w:val="center"/>
          </w:tcPr>
          <w:p w:rsidR="009E40FC" w:rsidRPr="00CB2E0F" w:rsidRDefault="009E40FC" w:rsidP="00AA4E0E">
            <w:pPr>
              <w:spacing w:after="0" w:line="240" w:lineRule="auto"/>
              <w:jc w:val="center"/>
              <w:rPr>
                <w:rFonts w:ascii="Garamond" w:eastAsia="Times New Roman" w:hAnsi="Garamond" w:cs="Arial"/>
                <w:b/>
                <w:bCs/>
              </w:rPr>
            </w:pPr>
            <w:r>
              <w:rPr>
                <w:rFonts w:ascii="Garamond" w:eastAsia="Times New Roman" w:hAnsi="Garamond" w:cs="Arial"/>
                <w:b/>
                <w:bCs/>
              </w:rPr>
              <w:t>max. 70</w:t>
            </w:r>
          </w:p>
        </w:tc>
      </w:tr>
    </w:tbl>
    <w:p w:rsidR="009E40FC" w:rsidRDefault="009E40FC" w:rsidP="009E40FC">
      <w:pPr>
        <w:spacing w:line="360" w:lineRule="auto"/>
        <w:ind w:firstLine="708"/>
        <w:jc w:val="both"/>
      </w:pPr>
    </w:p>
    <w:p w:rsidR="009E40FC" w:rsidRDefault="009E40FC" w:rsidP="009E40FC">
      <w:pPr>
        <w:spacing w:line="360" w:lineRule="auto"/>
        <w:ind w:firstLine="708"/>
        <w:jc w:val="both"/>
        <w:rPr>
          <w:b/>
        </w:rPr>
      </w:pPr>
      <w:r>
        <w:t xml:space="preserve">Maksymalna  ocena punktowa wskaźników </w:t>
      </w:r>
      <w:proofErr w:type="spellStart"/>
      <w:r>
        <w:t>ekonomiczno</w:t>
      </w:r>
      <w:proofErr w:type="spellEnd"/>
      <w:r>
        <w:t xml:space="preserve"> – finansowych wynikająca </w:t>
      </w:r>
      <w:r w:rsidR="001A56E4">
        <w:br/>
      </w:r>
      <w:r>
        <w:t xml:space="preserve">z rozporządzenia Ministra Zdrowia z dnia 12 kwietnia 2017r. w sprawie wskaźników ekonomiczno – finansowych niezbędnych do sporządzenia analizy oraz prognozy sytuacji ekonomiczno – finansowej samodzielnych publicznych zakładów opieki zdrowotnej SPSZOZ wynosi 70. Łączna ocena punktowa za rok 2016 uzyskana przez </w:t>
      </w:r>
      <w:r w:rsidRPr="00702B21">
        <w:t>Szpital Miejski św. Jana Pawła II w Elblągu</w:t>
      </w:r>
      <w:r w:rsidRPr="00313E14">
        <w:t>, ul. K</w:t>
      </w:r>
      <w:r>
        <w:t>omeńskiego 3</w:t>
      </w:r>
      <w:r w:rsidRPr="00313E14">
        <w:t>5</w:t>
      </w:r>
      <w:r>
        <w:t xml:space="preserve"> wynosi 30, </w:t>
      </w:r>
      <w:r w:rsidRPr="004F0947">
        <w:rPr>
          <w:b/>
        </w:rPr>
        <w:t xml:space="preserve">co stanowi </w:t>
      </w:r>
      <w:r>
        <w:rPr>
          <w:b/>
        </w:rPr>
        <w:t>4</w:t>
      </w:r>
      <w:r w:rsidRPr="004F0947">
        <w:rPr>
          <w:b/>
        </w:rPr>
        <w:t>2,86% maksymalnej liczby punktów możliwej do uzyskania.</w:t>
      </w:r>
    </w:p>
    <w:p w:rsidR="009E40FC" w:rsidRPr="007C449F"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sz w:val="22"/>
          <w:szCs w:val="22"/>
        </w:rPr>
      </w:pPr>
      <w:r>
        <w:rPr>
          <w:b/>
        </w:rPr>
        <w:tab/>
      </w:r>
      <w:r w:rsidRPr="0025390A">
        <w:rPr>
          <w:rFonts w:asciiTheme="minorHAnsi" w:hAnsiTheme="minorHAnsi"/>
          <w:sz w:val="22"/>
          <w:szCs w:val="22"/>
        </w:rPr>
        <w:t>Na poziom wyżej wymienionych wsk</w:t>
      </w:r>
      <w:r>
        <w:rPr>
          <w:rFonts w:asciiTheme="minorHAnsi" w:hAnsiTheme="minorHAnsi"/>
          <w:sz w:val="22"/>
          <w:szCs w:val="22"/>
        </w:rPr>
        <w:t>aźników istotny wpływ miał fakt</w:t>
      </w:r>
      <w:r w:rsidRPr="0025390A">
        <w:rPr>
          <w:rFonts w:asciiTheme="minorHAnsi" w:hAnsiTheme="minorHAnsi"/>
          <w:sz w:val="22"/>
          <w:szCs w:val="22"/>
        </w:rPr>
        <w:t xml:space="preserve"> połączenia Samodzielnego Publicznego Specjalistycznego Zakładu Opieki Zdrowotnej Szpitala Miejskiego </w:t>
      </w:r>
      <w:r w:rsidR="001A56E4">
        <w:rPr>
          <w:rFonts w:asciiTheme="minorHAnsi" w:hAnsiTheme="minorHAnsi"/>
          <w:sz w:val="22"/>
          <w:szCs w:val="22"/>
        </w:rPr>
        <w:br/>
      </w:r>
      <w:r w:rsidRPr="0025390A">
        <w:rPr>
          <w:rFonts w:asciiTheme="minorHAnsi" w:hAnsiTheme="minorHAnsi"/>
          <w:sz w:val="22"/>
          <w:szCs w:val="22"/>
        </w:rPr>
        <w:t>im. Jana Pawła II oraz Elbląskiego Szpitala Specjalistycznego z Przychodnią</w:t>
      </w:r>
      <w:r>
        <w:rPr>
          <w:rFonts w:asciiTheme="minorHAnsi" w:hAnsiTheme="minorHAnsi"/>
          <w:sz w:val="22"/>
          <w:szCs w:val="22"/>
        </w:rPr>
        <w:t xml:space="preserve"> SPZOZ. </w:t>
      </w:r>
      <w:r w:rsidRPr="007C449F">
        <w:rPr>
          <w:rFonts w:asciiTheme="minorHAnsi" w:hAnsiTheme="minorHAnsi" w:cs="Arial"/>
          <w:sz w:val="22"/>
          <w:szCs w:val="22"/>
        </w:rPr>
        <w:t xml:space="preserve">Elbląski Szpital Specjalistyczny z Przychodnią SPZOZ w Elblągu przy  ul. Komeńskiego 35 przejął stratę z lat ubiegłych SPSZOZ Szpitala Miejskiego im. Jana Pawła II w Elblągu przy ul. Żeromskiego 22, która wynosiła </w:t>
      </w:r>
      <w:r w:rsidRPr="007C449F">
        <w:rPr>
          <w:rFonts w:asciiTheme="minorHAnsi" w:hAnsiTheme="minorHAnsi" w:cs="Arial"/>
          <w:sz w:val="22"/>
          <w:szCs w:val="22"/>
        </w:rPr>
        <w:lastRenderedPageBreak/>
        <w:t>4.889.173,94 zł. Nowy podmiot – Szpital Miejski św. Jana Pawła II w Elblągu funkcjonuje od 1 grudnia 2016r.</w:t>
      </w:r>
    </w:p>
    <w:p w:rsidR="009E40FC" w:rsidRPr="00130123"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sz w:val="22"/>
          <w:szCs w:val="22"/>
        </w:rPr>
      </w:pPr>
      <w:r>
        <w:rPr>
          <w:rFonts w:asciiTheme="minorHAnsi" w:hAnsiTheme="minorHAnsi"/>
          <w:sz w:val="22"/>
          <w:szCs w:val="22"/>
        </w:rPr>
        <w:t xml:space="preserve">Realnej oceny sytuacji ekonomiczno – finansowej </w:t>
      </w:r>
      <w:r w:rsidRPr="007C449F">
        <w:rPr>
          <w:rFonts w:asciiTheme="minorHAnsi" w:hAnsiTheme="minorHAnsi" w:cs="Arial"/>
          <w:sz w:val="22"/>
          <w:szCs w:val="22"/>
        </w:rPr>
        <w:t>Szpital</w:t>
      </w:r>
      <w:r>
        <w:rPr>
          <w:rFonts w:asciiTheme="minorHAnsi" w:hAnsiTheme="minorHAnsi" w:cs="Arial"/>
          <w:sz w:val="22"/>
          <w:szCs w:val="22"/>
        </w:rPr>
        <w:t xml:space="preserve">a </w:t>
      </w:r>
      <w:r w:rsidRPr="007C449F">
        <w:rPr>
          <w:rFonts w:asciiTheme="minorHAnsi" w:hAnsiTheme="minorHAnsi" w:cs="Arial"/>
          <w:sz w:val="22"/>
          <w:szCs w:val="22"/>
        </w:rPr>
        <w:t>Miejski</w:t>
      </w:r>
      <w:r>
        <w:rPr>
          <w:rFonts w:asciiTheme="minorHAnsi" w:hAnsiTheme="minorHAnsi" w:cs="Arial"/>
          <w:sz w:val="22"/>
          <w:szCs w:val="22"/>
        </w:rPr>
        <w:t>ego</w:t>
      </w:r>
      <w:r w:rsidRPr="007C449F">
        <w:rPr>
          <w:rFonts w:asciiTheme="minorHAnsi" w:hAnsiTheme="minorHAnsi" w:cs="Arial"/>
          <w:sz w:val="22"/>
          <w:szCs w:val="22"/>
        </w:rPr>
        <w:t xml:space="preserve"> św. Jana Pawła II w Elblągu</w:t>
      </w:r>
      <w:r>
        <w:rPr>
          <w:rFonts w:asciiTheme="minorHAnsi" w:hAnsiTheme="minorHAnsi" w:cs="Arial"/>
          <w:sz w:val="22"/>
          <w:szCs w:val="22"/>
        </w:rPr>
        <w:t xml:space="preserve">, </w:t>
      </w:r>
      <w:r w:rsidR="002B785B">
        <w:rPr>
          <w:rFonts w:asciiTheme="minorHAnsi" w:hAnsiTheme="minorHAnsi" w:cs="Arial"/>
          <w:sz w:val="22"/>
          <w:szCs w:val="22"/>
        </w:rPr>
        <w:br/>
      </w:r>
      <w:r>
        <w:rPr>
          <w:rFonts w:asciiTheme="minorHAnsi" w:hAnsiTheme="minorHAnsi" w:cs="Arial"/>
          <w:sz w:val="22"/>
          <w:szCs w:val="22"/>
        </w:rPr>
        <w:t>w oparciu o w/w wskaźniki, dokona się na podstawie raportu za rok 2017.</w:t>
      </w:r>
    </w:p>
    <w:p w:rsidR="009E40FC" w:rsidRPr="0026674D"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color w:val="FF0000"/>
          <w:sz w:val="22"/>
          <w:szCs w:val="22"/>
        </w:rPr>
      </w:pPr>
    </w:p>
    <w:p w:rsidR="009E40FC" w:rsidRPr="000A08F4" w:rsidRDefault="009E40FC" w:rsidP="009E40FC">
      <w:pPr>
        <w:pStyle w:val="NormalnyWeb"/>
        <w:shd w:val="clear" w:color="auto" w:fill="FFFFFF"/>
        <w:spacing w:before="0" w:beforeAutospacing="0" w:after="225" w:afterAutospacing="0" w:line="360" w:lineRule="auto"/>
        <w:contextualSpacing/>
        <w:jc w:val="center"/>
        <w:rPr>
          <w:rFonts w:asciiTheme="minorHAnsi" w:hAnsiTheme="minorHAnsi" w:cs="Arial"/>
          <w:b/>
          <w:sz w:val="22"/>
          <w:szCs w:val="22"/>
          <w:u w:val="single"/>
        </w:rPr>
      </w:pPr>
      <w:r w:rsidRPr="000A08F4">
        <w:rPr>
          <w:rFonts w:asciiTheme="minorHAnsi" w:hAnsiTheme="minorHAnsi" w:cs="Arial"/>
          <w:b/>
          <w:sz w:val="22"/>
          <w:szCs w:val="22"/>
          <w:u w:val="single"/>
        </w:rPr>
        <w:t>Prognoza sytuacji ekonomiczno-finansowej na lata 2017-2019</w:t>
      </w:r>
    </w:p>
    <w:p w:rsidR="009E40FC" w:rsidRPr="000A08F4" w:rsidRDefault="009E40FC" w:rsidP="009E40FC">
      <w:pPr>
        <w:pStyle w:val="NormalnyWeb"/>
        <w:shd w:val="clear" w:color="auto" w:fill="FFFFFF"/>
        <w:spacing w:before="0" w:beforeAutospacing="0" w:after="225" w:afterAutospacing="0" w:line="360" w:lineRule="auto"/>
        <w:contextualSpacing/>
        <w:jc w:val="center"/>
        <w:rPr>
          <w:rFonts w:asciiTheme="minorHAnsi" w:hAnsiTheme="minorHAnsi" w:cs="Arial"/>
          <w:b/>
          <w:sz w:val="22"/>
          <w:szCs w:val="22"/>
        </w:rPr>
      </w:pPr>
      <w:r w:rsidRPr="000A08F4">
        <w:rPr>
          <w:rFonts w:asciiTheme="minorHAnsi" w:hAnsiTheme="minorHAnsi" w:cs="Arial"/>
          <w:b/>
          <w:sz w:val="22"/>
          <w:szCs w:val="22"/>
        </w:rPr>
        <w:t>Tabela podsumowująca wyniki oceny sytuacji ekonomiczno – finansowej na lata 2016 – 2019</w:t>
      </w:r>
    </w:p>
    <w:p w:rsidR="009E40FC" w:rsidRPr="000A08F4" w:rsidRDefault="009E40FC" w:rsidP="009E40FC">
      <w:pPr>
        <w:pStyle w:val="NormalnyWeb"/>
        <w:shd w:val="clear" w:color="auto" w:fill="FFFFFF"/>
        <w:spacing w:before="0" w:beforeAutospacing="0" w:after="225" w:afterAutospacing="0" w:line="360" w:lineRule="auto"/>
        <w:contextualSpacing/>
        <w:jc w:val="center"/>
        <w:rPr>
          <w:rFonts w:asciiTheme="minorHAnsi" w:hAnsiTheme="minorHAnsi" w:cs="Arial"/>
          <w:b/>
          <w:sz w:val="22"/>
          <w:szCs w:val="22"/>
        </w:rPr>
      </w:pPr>
    </w:p>
    <w:tbl>
      <w:tblPr>
        <w:tblStyle w:val="Tabela-Siatka"/>
        <w:tblW w:w="0" w:type="auto"/>
        <w:tblInd w:w="-318" w:type="dxa"/>
        <w:tblLook w:val="04A0" w:firstRow="1" w:lastRow="0" w:firstColumn="1" w:lastColumn="0" w:noHBand="0" w:noVBand="1"/>
      </w:tblPr>
      <w:tblGrid>
        <w:gridCol w:w="3687"/>
        <w:gridCol w:w="1701"/>
        <w:gridCol w:w="1559"/>
        <w:gridCol w:w="1417"/>
        <w:gridCol w:w="1166"/>
      </w:tblGrid>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2"/>
                <w:szCs w:val="22"/>
              </w:rPr>
            </w:pPr>
          </w:p>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2"/>
                <w:szCs w:val="22"/>
              </w:rPr>
            </w:pPr>
            <w:r w:rsidRPr="000A08F4">
              <w:rPr>
                <w:rFonts w:asciiTheme="minorHAnsi" w:hAnsiTheme="minorHAnsi" w:cs="Arial"/>
                <w:b/>
                <w:sz w:val="22"/>
                <w:szCs w:val="22"/>
              </w:rPr>
              <w:t xml:space="preserve">Wskaźniki </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2"/>
                <w:szCs w:val="22"/>
              </w:rPr>
            </w:pPr>
          </w:p>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2"/>
                <w:szCs w:val="22"/>
              </w:rPr>
            </w:pPr>
            <w:r w:rsidRPr="000A08F4">
              <w:rPr>
                <w:rFonts w:asciiTheme="minorHAnsi" w:hAnsiTheme="minorHAnsi" w:cs="Arial"/>
                <w:b/>
                <w:sz w:val="22"/>
                <w:szCs w:val="22"/>
              </w:rPr>
              <w:t>2016</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2"/>
                <w:szCs w:val="22"/>
              </w:rPr>
            </w:pPr>
          </w:p>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2"/>
                <w:szCs w:val="22"/>
              </w:rPr>
            </w:pPr>
            <w:r w:rsidRPr="000A08F4">
              <w:rPr>
                <w:rFonts w:asciiTheme="minorHAnsi" w:hAnsiTheme="minorHAnsi" w:cs="Arial"/>
                <w:b/>
                <w:sz w:val="22"/>
                <w:szCs w:val="22"/>
              </w:rPr>
              <w:t>2017</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2"/>
                <w:szCs w:val="22"/>
              </w:rPr>
            </w:pPr>
          </w:p>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2"/>
                <w:szCs w:val="22"/>
              </w:rPr>
            </w:pPr>
            <w:r w:rsidRPr="000A08F4">
              <w:rPr>
                <w:rFonts w:asciiTheme="minorHAnsi" w:hAnsiTheme="minorHAnsi" w:cs="Arial"/>
                <w:b/>
                <w:sz w:val="22"/>
                <w:szCs w:val="22"/>
              </w:rPr>
              <w:t>2018</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2"/>
                <w:szCs w:val="22"/>
              </w:rPr>
            </w:pPr>
          </w:p>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2"/>
                <w:szCs w:val="22"/>
              </w:rPr>
            </w:pPr>
            <w:r w:rsidRPr="000A08F4">
              <w:rPr>
                <w:rFonts w:asciiTheme="minorHAnsi" w:hAnsiTheme="minorHAnsi" w:cs="Arial"/>
                <w:b/>
                <w:sz w:val="22"/>
                <w:szCs w:val="22"/>
              </w:rPr>
              <w:t>2019</w:t>
            </w:r>
          </w:p>
        </w:tc>
      </w:tr>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rPr>
                <w:rFonts w:asciiTheme="minorHAnsi" w:hAnsiTheme="minorHAnsi" w:cs="Arial"/>
                <w:sz w:val="20"/>
                <w:szCs w:val="20"/>
              </w:rPr>
            </w:pPr>
            <w:r w:rsidRPr="000A08F4">
              <w:rPr>
                <w:rFonts w:asciiTheme="minorHAnsi" w:hAnsiTheme="minorHAnsi" w:cs="Arial"/>
                <w:sz w:val="20"/>
                <w:szCs w:val="20"/>
              </w:rPr>
              <w:t>Wskaźnik zyskowności netto</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0</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3</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3</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3</w:t>
            </w:r>
          </w:p>
        </w:tc>
      </w:tr>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rPr>
                <w:rFonts w:asciiTheme="minorHAnsi" w:hAnsiTheme="minorHAnsi" w:cs="Arial"/>
                <w:sz w:val="20"/>
                <w:szCs w:val="20"/>
              </w:rPr>
            </w:pPr>
            <w:r w:rsidRPr="000A08F4">
              <w:rPr>
                <w:rFonts w:asciiTheme="minorHAnsi" w:hAnsiTheme="minorHAnsi" w:cs="Arial"/>
                <w:sz w:val="20"/>
                <w:szCs w:val="20"/>
              </w:rPr>
              <w:t>Wskaźnik zyskowności działalności operacyjnej</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0</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0</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0</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0</w:t>
            </w:r>
          </w:p>
        </w:tc>
      </w:tr>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jc w:val="both"/>
              <w:rPr>
                <w:rFonts w:asciiTheme="minorHAnsi" w:hAnsiTheme="minorHAnsi" w:cs="Arial"/>
                <w:sz w:val="20"/>
                <w:szCs w:val="20"/>
              </w:rPr>
            </w:pPr>
            <w:r w:rsidRPr="000A08F4">
              <w:rPr>
                <w:rFonts w:asciiTheme="minorHAnsi" w:hAnsiTheme="minorHAnsi" w:cs="Arial"/>
                <w:sz w:val="20"/>
                <w:szCs w:val="20"/>
              </w:rPr>
              <w:t>Wskaźnik zyskowności aktywów</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0</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3</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3</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3</w:t>
            </w:r>
          </w:p>
        </w:tc>
      </w:tr>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jc w:val="both"/>
              <w:rPr>
                <w:rFonts w:asciiTheme="minorHAnsi" w:hAnsiTheme="minorHAnsi" w:cs="Arial"/>
                <w:b/>
                <w:sz w:val="20"/>
                <w:szCs w:val="20"/>
                <w:u w:val="single"/>
              </w:rPr>
            </w:pPr>
            <w:r w:rsidRPr="000A08F4">
              <w:rPr>
                <w:rFonts w:asciiTheme="minorHAnsi" w:hAnsiTheme="minorHAnsi" w:cs="Arial"/>
                <w:b/>
                <w:sz w:val="20"/>
                <w:szCs w:val="20"/>
                <w:u w:val="single"/>
              </w:rPr>
              <w:t>Razem wskaźniki zyskowności</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0</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6</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6</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6</w:t>
            </w:r>
          </w:p>
        </w:tc>
      </w:tr>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jc w:val="both"/>
              <w:rPr>
                <w:rFonts w:asciiTheme="minorHAnsi" w:hAnsiTheme="minorHAnsi" w:cs="Arial"/>
                <w:sz w:val="20"/>
                <w:szCs w:val="20"/>
              </w:rPr>
            </w:pPr>
            <w:r w:rsidRPr="000A08F4">
              <w:rPr>
                <w:rFonts w:asciiTheme="minorHAnsi" w:hAnsiTheme="minorHAnsi" w:cs="Arial"/>
                <w:sz w:val="20"/>
                <w:szCs w:val="20"/>
              </w:rPr>
              <w:t>Wskaźnik bieżącej płynności</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4</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8</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8</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8</w:t>
            </w:r>
          </w:p>
        </w:tc>
      </w:tr>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jc w:val="both"/>
              <w:rPr>
                <w:rFonts w:asciiTheme="minorHAnsi" w:hAnsiTheme="minorHAnsi" w:cs="Arial"/>
                <w:sz w:val="20"/>
                <w:szCs w:val="20"/>
              </w:rPr>
            </w:pPr>
            <w:r w:rsidRPr="000A08F4">
              <w:rPr>
                <w:rFonts w:asciiTheme="minorHAnsi" w:hAnsiTheme="minorHAnsi" w:cs="Arial"/>
                <w:sz w:val="20"/>
                <w:szCs w:val="20"/>
              </w:rPr>
              <w:t>Wskaźnik szybkiej płynności</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8</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13</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13</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13</w:t>
            </w:r>
          </w:p>
        </w:tc>
      </w:tr>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rPr>
                <w:rFonts w:asciiTheme="minorHAnsi" w:hAnsiTheme="minorHAnsi" w:cs="Arial"/>
                <w:b/>
                <w:sz w:val="20"/>
                <w:szCs w:val="20"/>
                <w:u w:val="single"/>
              </w:rPr>
            </w:pPr>
            <w:r w:rsidRPr="000A08F4">
              <w:rPr>
                <w:rFonts w:asciiTheme="minorHAnsi" w:hAnsiTheme="minorHAnsi" w:cs="Arial"/>
                <w:b/>
                <w:sz w:val="20"/>
                <w:szCs w:val="20"/>
                <w:u w:val="single"/>
              </w:rPr>
              <w:t>Razem wskaźniki płynności finansowej</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12</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21</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21</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21</w:t>
            </w:r>
          </w:p>
        </w:tc>
      </w:tr>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jc w:val="both"/>
              <w:rPr>
                <w:rFonts w:asciiTheme="minorHAnsi" w:hAnsiTheme="minorHAnsi" w:cs="Arial"/>
                <w:sz w:val="20"/>
                <w:szCs w:val="20"/>
              </w:rPr>
            </w:pPr>
            <w:r w:rsidRPr="000A08F4">
              <w:rPr>
                <w:rFonts w:asciiTheme="minorHAnsi" w:hAnsiTheme="minorHAnsi" w:cs="Arial"/>
                <w:sz w:val="20"/>
                <w:szCs w:val="20"/>
              </w:rPr>
              <w:t>Wskaźnik rotacji należności</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3</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3</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3</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3</w:t>
            </w:r>
          </w:p>
        </w:tc>
      </w:tr>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jc w:val="both"/>
              <w:rPr>
                <w:rFonts w:asciiTheme="minorHAnsi" w:hAnsiTheme="minorHAnsi" w:cs="Arial"/>
                <w:sz w:val="20"/>
                <w:szCs w:val="20"/>
              </w:rPr>
            </w:pPr>
            <w:r w:rsidRPr="000A08F4">
              <w:rPr>
                <w:rFonts w:asciiTheme="minorHAnsi" w:hAnsiTheme="minorHAnsi" w:cs="Arial"/>
                <w:sz w:val="20"/>
                <w:szCs w:val="20"/>
              </w:rPr>
              <w:t>Wskaźnik rotacji zobowiązań</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7</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7</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7</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7</w:t>
            </w:r>
          </w:p>
        </w:tc>
      </w:tr>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jc w:val="both"/>
              <w:rPr>
                <w:rFonts w:asciiTheme="minorHAnsi" w:hAnsiTheme="minorHAnsi" w:cs="Arial"/>
                <w:b/>
                <w:sz w:val="20"/>
                <w:szCs w:val="20"/>
                <w:u w:val="single"/>
              </w:rPr>
            </w:pPr>
            <w:r w:rsidRPr="000A08F4">
              <w:rPr>
                <w:rFonts w:asciiTheme="minorHAnsi" w:hAnsiTheme="minorHAnsi" w:cs="Arial"/>
                <w:b/>
                <w:sz w:val="20"/>
                <w:szCs w:val="20"/>
                <w:u w:val="single"/>
              </w:rPr>
              <w:t>Razem wskaźniki efektywności</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10</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10</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10</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10</w:t>
            </w:r>
          </w:p>
        </w:tc>
      </w:tr>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jc w:val="both"/>
              <w:rPr>
                <w:rFonts w:asciiTheme="minorHAnsi" w:hAnsiTheme="minorHAnsi" w:cs="Arial"/>
                <w:sz w:val="20"/>
                <w:szCs w:val="20"/>
              </w:rPr>
            </w:pPr>
            <w:r w:rsidRPr="000A08F4">
              <w:rPr>
                <w:rFonts w:asciiTheme="minorHAnsi" w:hAnsiTheme="minorHAnsi" w:cs="Arial"/>
                <w:sz w:val="20"/>
                <w:szCs w:val="20"/>
              </w:rPr>
              <w:t>Wskaźnik zadłużenia aktywów</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8</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8</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10</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10</w:t>
            </w:r>
          </w:p>
        </w:tc>
      </w:tr>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jc w:val="both"/>
              <w:rPr>
                <w:rFonts w:asciiTheme="minorHAnsi" w:hAnsiTheme="minorHAnsi" w:cs="Arial"/>
                <w:sz w:val="20"/>
                <w:szCs w:val="20"/>
              </w:rPr>
            </w:pPr>
            <w:r w:rsidRPr="000A08F4">
              <w:rPr>
                <w:rFonts w:asciiTheme="minorHAnsi" w:hAnsiTheme="minorHAnsi" w:cs="Arial"/>
                <w:sz w:val="20"/>
                <w:szCs w:val="20"/>
              </w:rPr>
              <w:t>Wskaźnik wypłacalności</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0</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0</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0</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0</w:t>
            </w:r>
          </w:p>
        </w:tc>
      </w:tr>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jc w:val="both"/>
              <w:rPr>
                <w:rFonts w:asciiTheme="minorHAnsi" w:hAnsiTheme="minorHAnsi" w:cs="Arial"/>
                <w:b/>
                <w:sz w:val="20"/>
                <w:szCs w:val="20"/>
                <w:u w:val="single"/>
              </w:rPr>
            </w:pPr>
            <w:r w:rsidRPr="000A08F4">
              <w:rPr>
                <w:rFonts w:asciiTheme="minorHAnsi" w:hAnsiTheme="minorHAnsi" w:cs="Arial"/>
                <w:b/>
                <w:sz w:val="20"/>
                <w:szCs w:val="20"/>
                <w:u w:val="single"/>
              </w:rPr>
              <w:t>Razem wskaźniki zadłużenia</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8</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8</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10</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10</w:t>
            </w:r>
          </w:p>
        </w:tc>
      </w:tr>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jc w:val="right"/>
              <w:rPr>
                <w:rFonts w:asciiTheme="minorHAnsi" w:hAnsiTheme="minorHAnsi" w:cs="Arial"/>
                <w:b/>
                <w:sz w:val="20"/>
                <w:szCs w:val="20"/>
                <w:u w:val="single"/>
              </w:rPr>
            </w:pPr>
            <w:r w:rsidRPr="000A08F4">
              <w:rPr>
                <w:rFonts w:asciiTheme="minorHAnsi" w:hAnsiTheme="minorHAnsi" w:cs="Arial"/>
                <w:b/>
                <w:sz w:val="20"/>
                <w:szCs w:val="20"/>
                <w:u w:val="single"/>
              </w:rPr>
              <w:t>OGÓŁEM (wszystkie wskaźniki)</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30</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45</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47</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47</w:t>
            </w:r>
          </w:p>
        </w:tc>
      </w:tr>
    </w:tbl>
    <w:p w:rsidR="009E40FC" w:rsidRDefault="009E40FC" w:rsidP="009E40FC">
      <w:pPr>
        <w:spacing w:line="360" w:lineRule="auto"/>
        <w:jc w:val="both"/>
        <w:rPr>
          <w:b/>
          <w:u w:val="single"/>
        </w:rPr>
      </w:pPr>
    </w:p>
    <w:p w:rsidR="00C86827" w:rsidRPr="000A08F4" w:rsidRDefault="00C86827" w:rsidP="009E40FC">
      <w:pPr>
        <w:spacing w:line="360" w:lineRule="auto"/>
        <w:jc w:val="both"/>
        <w:rPr>
          <w:b/>
          <w:u w:val="single"/>
        </w:rPr>
      </w:pPr>
    </w:p>
    <w:p w:rsidR="009E40FC" w:rsidRPr="00D0381A" w:rsidRDefault="009E40FC" w:rsidP="009E40FC">
      <w:pPr>
        <w:spacing w:line="360" w:lineRule="auto"/>
        <w:jc w:val="both"/>
      </w:pPr>
      <w:r w:rsidRPr="00D0381A">
        <w:rPr>
          <w:b/>
          <w:u w:val="single"/>
        </w:rPr>
        <w:lastRenderedPageBreak/>
        <w:t xml:space="preserve">Podsumowanie </w:t>
      </w:r>
      <w:r w:rsidRPr="00D0381A">
        <w:t xml:space="preserve"> </w:t>
      </w:r>
    </w:p>
    <w:p w:rsidR="009E40FC" w:rsidRDefault="00C86827" w:rsidP="001774F0">
      <w:pPr>
        <w:spacing w:after="0" w:line="360" w:lineRule="auto"/>
        <w:ind w:firstLine="708"/>
        <w:jc w:val="both"/>
      </w:pPr>
      <w:r>
        <w:t xml:space="preserve">Przedstawiona przez Dyrekcję Szpitala prognoza sytuacji ekonomiczno-finansowej </w:t>
      </w:r>
      <w:r w:rsidR="001A56E4">
        <w:br/>
      </w:r>
      <w:r>
        <w:t xml:space="preserve">na najbliższe trzy lata zawiera poprawę wskaźników. W 2016 r. średnia wartość </w:t>
      </w:r>
      <w:r w:rsidR="001774F0">
        <w:t>punktów wyniosła 30, natomiast w:</w:t>
      </w:r>
    </w:p>
    <w:p w:rsidR="001774F0" w:rsidRPr="001774F0" w:rsidRDefault="001774F0" w:rsidP="001774F0">
      <w:pPr>
        <w:pStyle w:val="Akapitzlist"/>
        <w:numPr>
          <w:ilvl w:val="0"/>
          <w:numId w:val="2"/>
        </w:numPr>
        <w:spacing w:after="0" w:line="360" w:lineRule="auto"/>
        <w:jc w:val="both"/>
      </w:pPr>
      <w:r w:rsidRPr="001774F0">
        <w:t>2017 r. – 45 punktów</w:t>
      </w:r>
    </w:p>
    <w:p w:rsidR="001774F0" w:rsidRPr="001774F0" w:rsidRDefault="001774F0" w:rsidP="001774F0">
      <w:pPr>
        <w:pStyle w:val="Akapitzlist"/>
        <w:numPr>
          <w:ilvl w:val="0"/>
          <w:numId w:val="2"/>
        </w:numPr>
        <w:spacing w:after="0" w:line="360" w:lineRule="auto"/>
        <w:jc w:val="both"/>
      </w:pPr>
      <w:r w:rsidRPr="001774F0">
        <w:t>2018 r. – 47 punktów</w:t>
      </w:r>
    </w:p>
    <w:p w:rsidR="001774F0" w:rsidRDefault="001774F0" w:rsidP="001774F0">
      <w:pPr>
        <w:pStyle w:val="Akapitzlist"/>
        <w:numPr>
          <w:ilvl w:val="0"/>
          <w:numId w:val="2"/>
        </w:numPr>
        <w:spacing w:after="0" w:line="360" w:lineRule="auto"/>
        <w:jc w:val="both"/>
      </w:pPr>
      <w:r w:rsidRPr="001774F0">
        <w:t>2019 r. – 47 punktów</w:t>
      </w:r>
    </w:p>
    <w:p w:rsidR="001774F0" w:rsidRDefault="001774F0" w:rsidP="001774F0">
      <w:pPr>
        <w:spacing w:after="0" w:line="360" w:lineRule="auto"/>
        <w:jc w:val="both"/>
      </w:pPr>
      <w:r>
        <w:t xml:space="preserve">przy maksymalnej ilości punktów, określonych przez Ministra Zdrowia w rozporządzeniu </w:t>
      </w:r>
      <w:r w:rsidR="001A56E4">
        <w:br/>
      </w:r>
      <w:r>
        <w:t>z dnia 12 kwietnia 2017 r., w ilości 70 punktów.</w:t>
      </w:r>
    </w:p>
    <w:p w:rsidR="001774F0" w:rsidRDefault="001774F0" w:rsidP="001774F0">
      <w:pPr>
        <w:spacing w:after="0" w:line="360" w:lineRule="auto"/>
        <w:jc w:val="both"/>
      </w:pPr>
      <w:r>
        <w:t>W ciągu 3 najbliższych lat celem Szpitala będzie głównie poprawa wskaźników rentowności poprzez co najmniej zrównoważenie kosztów z przychodami. W najbliższej perspektywie prognozuje się:</w:t>
      </w:r>
    </w:p>
    <w:p w:rsidR="001774F0" w:rsidRPr="001774F0" w:rsidRDefault="001774F0" w:rsidP="001774F0">
      <w:pPr>
        <w:pStyle w:val="Akapitzlist"/>
        <w:numPr>
          <w:ilvl w:val="0"/>
          <w:numId w:val="3"/>
        </w:numPr>
        <w:spacing w:after="0" w:line="360" w:lineRule="auto"/>
        <w:jc w:val="both"/>
      </w:pPr>
      <w:r>
        <w:t>poprawę wskaźnika zyskowności netto oraz wskaźnika zyskowności aktywów z „0” punktów w 2016 r. do 3 punktów rocznie w latach 2017-2019.</w:t>
      </w:r>
    </w:p>
    <w:p w:rsidR="009E40FC" w:rsidRPr="00D0381A" w:rsidRDefault="009E40FC" w:rsidP="009E40FC">
      <w:pPr>
        <w:spacing w:line="360" w:lineRule="auto"/>
        <w:jc w:val="both"/>
        <w:rPr>
          <w:b/>
          <w:u w:val="single"/>
        </w:rPr>
      </w:pPr>
      <w:r w:rsidRPr="00D0381A">
        <w:rPr>
          <w:b/>
          <w:u w:val="single"/>
        </w:rPr>
        <w:t xml:space="preserve">Ocena ogólna </w:t>
      </w:r>
    </w:p>
    <w:p w:rsidR="009E40FC" w:rsidRDefault="009E40FC" w:rsidP="009E40FC">
      <w:pPr>
        <w:spacing w:line="360" w:lineRule="auto"/>
        <w:ind w:firstLine="708"/>
        <w:jc w:val="both"/>
      </w:pPr>
      <w:r w:rsidRPr="00D0381A">
        <w:t>Biorąc pod uwagę przedstawiony raport o sytuacji ekonomiczno-finansowej, jak również prognozę  sytuacji ekonomiczno-finansowej na kolejne trzy lata obrotowe tj.: lata 2017 – 2019 uwzględniając poprawność i kompletność przyjętych założeń o</w:t>
      </w:r>
      <w:r>
        <w:t>raz realność wykonania prognozy, uważam, że optymalnym rozwiązaniem, w celu poprawy gospodarki finansowej Szpitala, było połącz</w:t>
      </w:r>
      <w:r w:rsidR="00130123">
        <w:t>enie organizacyjno – finansowe dwóch</w:t>
      </w:r>
      <w:r>
        <w:t xml:space="preserve"> </w:t>
      </w:r>
      <w:r w:rsidR="001774F0">
        <w:t>Szpitali</w:t>
      </w:r>
      <w:r>
        <w:t>, dla których organem założyci</w:t>
      </w:r>
      <w:r w:rsidR="001774F0">
        <w:t>elskim jest Gmina Miasto Elbląg</w:t>
      </w:r>
    </w:p>
    <w:p w:rsidR="009E40FC" w:rsidRDefault="009E40FC" w:rsidP="009E40FC">
      <w:pPr>
        <w:spacing w:line="360" w:lineRule="auto"/>
        <w:ind w:firstLine="708"/>
        <w:jc w:val="both"/>
      </w:pPr>
      <w:r>
        <w:t>Dzięki połączeniu oraz pomocy Miasta w skutek udzielonego i spłaconego poręczenia pożyczki  zaciągniętej przez Szpital nastąpiła poprawa finansów Szpitala i w konsekwencji wskaź</w:t>
      </w:r>
      <w:r w:rsidR="001774F0">
        <w:t>ników ekonomicznych w roku 2016, dlatego też głównym celem i działaniem Dyrekcji Szpitala na najbliższe lata winno być osiągnięcie zaplanowanych wskaźników w celu bezpiecznej realizacji</w:t>
      </w:r>
      <w:r w:rsidR="002B785B">
        <w:t xml:space="preserve"> świadczeń zdrowotnych i szpitalnych.</w:t>
      </w:r>
    </w:p>
    <w:p w:rsidR="009E40FC" w:rsidRDefault="009E40FC" w:rsidP="009E40FC">
      <w:pPr>
        <w:spacing w:line="360" w:lineRule="auto"/>
        <w:ind w:firstLine="708"/>
        <w:jc w:val="both"/>
      </w:pPr>
      <w:r>
        <w:t>Prognozę sytuacji ekonomiczno – finansowej na lata 2017-2019 przedłożoną przez dyrekcję Szpitala oceniam pozytywnie.</w:t>
      </w:r>
    </w:p>
    <w:p w:rsidR="009E40FC" w:rsidRPr="00D0381A" w:rsidRDefault="009E40FC" w:rsidP="009E40FC">
      <w:pPr>
        <w:spacing w:line="360" w:lineRule="auto"/>
        <w:ind w:firstLine="708"/>
        <w:jc w:val="both"/>
        <w:rPr>
          <w:b/>
          <w:u w:val="single"/>
        </w:rPr>
      </w:pPr>
      <w:bookmarkStart w:id="0" w:name="_GoBack"/>
      <w:bookmarkEnd w:id="0"/>
    </w:p>
    <w:p w:rsidR="009E40FC" w:rsidRPr="00D0381A" w:rsidRDefault="009E40FC" w:rsidP="009E40FC">
      <w:pPr>
        <w:pStyle w:val="Akapitzlist"/>
        <w:jc w:val="both"/>
      </w:pPr>
    </w:p>
    <w:p w:rsidR="009E40FC" w:rsidRPr="00D0381A" w:rsidRDefault="009E40FC" w:rsidP="009E40FC"/>
    <w:p w:rsidR="009E40FC" w:rsidRPr="009E40FC" w:rsidRDefault="009E40FC" w:rsidP="009E40FC">
      <w:pPr>
        <w:spacing w:line="360" w:lineRule="auto"/>
        <w:jc w:val="both"/>
      </w:pPr>
    </w:p>
    <w:sectPr w:rsidR="009E40FC" w:rsidRPr="009E40FC" w:rsidSect="002A7FC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omic Sans MS">
    <w:panose1 w:val="030F0702030302020204"/>
    <w:charset w:val="EE"/>
    <w:family w:val="script"/>
    <w:pitch w:val="variable"/>
    <w:sig w:usb0="00000287" w:usb1="40000013"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543F7"/>
    <w:multiLevelType w:val="hybridMultilevel"/>
    <w:tmpl w:val="32FC46C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0D2025B"/>
    <w:multiLevelType w:val="hybridMultilevel"/>
    <w:tmpl w:val="382A06B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nsid w:val="45231ED3"/>
    <w:multiLevelType w:val="hybridMultilevel"/>
    <w:tmpl w:val="6CB0F5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8F7"/>
    <w:rsid w:val="00130123"/>
    <w:rsid w:val="001774F0"/>
    <w:rsid w:val="001A56E4"/>
    <w:rsid w:val="002A7FCA"/>
    <w:rsid w:val="002B785B"/>
    <w:rsid w:val="00427CC9"/>
    <w:rsid w:val="00434BDE"/>
    <w:rsid w:val="007A426C"/>
    <w:rsid w:val="007C022A"/>
    <w:rsid w:val="007F78F7"/>
    <w:rsid w:val="008A7DA7"/>
    <w:rsid w:val="00915865"/>
    <w:rsid w:val="009657E3"/>
    <w:rsid w:val="009D09B6"/>
    <w:rsid w:val="009E40FC"/>
    <w:rsid w:val="00BF0889"/>
    <w:rsid w:val="00C86827"/>
    <w:rsid w:val="00CF2498"/>
    <w:rsid w:val="00D349EB"/>
    <w:rsid w:val="00EE6684"/>
    <w:rsid w:val="00FA67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E40FC"/>
    <w:pPr>
      <w:ind w:left="720"/>
      <w:contextualSpacing/>
    </w:pPr>
  </w:style>
  <w:style w:type="paragraph" w:styleId="NormalnyWeb">
    <w:name w:val="Normal (Web)"/>
    <w:basedOn w:val="Normalny"/>
    <w:uiPriority w:val="99"/>
    <w:semiHidden/>
    <w:unhideWhenUsed/>
    <w:rsid w:val="009E40FC"/>
    <w:pPr>
      <w:spacing w:before="100" w:beforeAutospacing="1" w:after="100" w:afterAutospacing="1" w:line="240" w:lineRule="auto"/>
    </w:pPr>
    <w:rPr>
      <w:rFonts w:ascii="Times New Roman" w:eastAsia="Times New Roman" w:hAnsi="Times New Roman" w:cs="Times New Roman"/>
      <w:sz w:val="24"/>
      <w:szCs w:val="24"/>
    </w:rPr>
  </w:style>
  <w:style w:type="table" w:styleId="Tabela-Siatka">
    <w:name w:val="Table Grid"/>
    <w:basedOn w:val="Standardowy"/>
    <w:uiPriority w:val="59"/>
    <w:rsid w:val="009E4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FA67A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A67A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E40FC"/>
    <w:pPr>
      <w:ind w:left="720"/>
      <w:contextualSpacing/>
    </w:pPr>
  </w:style>
  <w:style w:type="paragraph" w:styleId="NormalnyWeb">
    <w:name w:val="Normal (Web)"/>
    <w:basedOn w:val="Normalny"/>
    <w:uiPriority w:val="99"/>
    <w:semiHidden/>
    <w:unhideWhenUsed/>
    <w:rsid w:val="009E40FC"/>
    <w:pPr>
      <w:spacing w:before="100" w:beforeAutospacing="1" w:after="100" w:afterAutospacing="1" w:line="240" w:lineRule="auto"/>
    </w:pPr>
    <w:rPr>
      <w:rFonts w:ascii="Times New Roman" w:eastAsia="Times New Roman" w:hAnsi="Times New Roman" w:cs="Times New Roman"/>
      <w:sz w:val="24"/>
      <w:szCs w:val="24"/>
    </w:rPr>
  </w:style>
  <w:style w:type="table" w:styleId="Tabela-Siatka">
    <w:name w:val="Table Grid"/>
    <w:basedOn w:val="Standardowy"/>
    <w:uiPriority w:val="59"/>
    <w:rsid w:val="009E4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FA67A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A67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8</Pages>
  <Words>1749</Words>
  <Characters>10497</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anzaw</dc:creator>
  <cp:lastModifiedBy>Urszula Kosecka</cp:lastModifiedBy>
  <cp:revision>8</cp:revision>
  <cp:lastPrinted>2017-09-19T09:24:00Z</cp:lastPrinted>
  <dcterms:created xsi:type="dcterms:W3CDTF">2017-09-15T05:44:00Z</dcterms:created>
  <dcterms:modified xsi:type="dcterms:W3CDTF">2017-09-19T10:33:00Z</dcterms:modified>
</cp:coreProperties>
</file>