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D566A" w:rsidRDefault="00957888" w:rsidP="00ED566A">
      <w:pPr>
        <w:jc w:val="center"/>
        <w:rPr>
          <w:b/>
        </w:rPr>
      </w:pPr>
      <w:r>
        <w:rPr>
          <w:b/>
        </w:rPr>
        <w:t xml:space="preserve">    </w:t>
      </w:r>
      <w:r w:rsidR="00ED566A">
        <w:rPr>
          <w:b/>
        </w:rPr>
        <w:t>ZARZĄDZENIE NR………………………</w:t>
      </w:r>
    </w:p>
    <w:p w:rsidR="00ED566A" w:rsidRDefault="00ED566A" w:rsidP="00ED566A">
      <w:pPr>
        <w:jc w:val="center"/>
        <w:rPr>
          <w:b/>
        </w:rPr>
      </w:pPr>
      <w:r>
        <w:rPr>
          <w:b/>
        </w:rPr>
        <w:t>PREZYDENTA MIASTA ELBLĄG</w:t>
      </w:r>
    </w:p>
    <w:p w:rsidR="00ED566A" w:rsidRDefault="00ED566A" w:rsidP="00ED566A">
      <w:pPr>
        <w:jc w:val="center"/>
        <w:rPr>
          <w:b/>
        </w:rPr>
      </w:pPr>
      <w:r>
        <w:rPr>
          <w:b/>
        </w:rPr>
        <w:t>z dnia ………………………………</w:t>
      </w:r>
    </w:p>
    <w:p w:rsidR="00ED566A" w:rsidRDefault="00ED566A" w:rsidP="00ED566A">
      <w:pPr>
        <w:jc w:val="center"/>
        <w:rPr>
          <w:b/>
        </w:rPr>
      </w:pPr>
      <w:r>
        <w:rPr>
          <w:b/>
        </w:rPr>
        <w:t>w sprawie oceny sytuacji ekonomiczno-finansowej Samodzielnego Publicznego Zakładu Opieki Zdrowotnej Centrum Rehabilitacji w Elblągu</w:t>
      </w:r>
    </w:p>
    <w:p w:rsidR="00ED566A" w:rsidRDefault="00ED566A" w:rsidP="00ED566A">
      <w:pPr>
        <w:jc w:val="both"/>
      </w:pPr>
    </w:p>
    <w:p w:rsidR="00ED566A" w:rsidRDefault="00ED566A" w:rsidP="00ED566A">
      <w:pPr>
        <w:spacing w:line="360" w:lineRule="auto"/>
        <w:jc w:val="both"/>
      </w:pPr>
      <w:r>
        <w:tab/>
        <w:t>Na podstawie art. 30 ust. 1 z dnia 8 marca 1990 roku o samorządzie gminnym (</w:t>
      </w:r>
      <w:proofErr w:type="spellStart"/>
      <w:r>
        <w:t>t.j</w:t>
      </w:r>
      <w:proofErr w:type="spellEnd"/>
      <w:r>
        <w:t>. Dz.U.               z 2016 poz. 446 z późn.zm.) w związku z art. 53a ust. 4 ustawy z dnia 15 kwietnia 2011 roku                       o działalności leczniczej (</w:t>
      </w:r>
      <w:proofErr w:type="spellStart"/>
      <w:r>
        <w:t>t.j</w:t>
      </w:r>
      <w:proofErr w:type="spellEnd"/>
      <w:r>
        <w:t xml:space="preserve">. Dz.U. z 2016 poz. 1638 z </w:t>
      </w:r>
      <w:proofErr w:type="spellStart"/>
      <w:r>
        <w:t>późn</w:t>
      </w:r>
      <w:proofErr w:type="spellEnd"/>
      <w:r>
        <w:t>. zm.) zarządzam, co następuje:</w:t>
      </w:r>
    </w:p>
    <w:p w:rsidR="00ED566A" w:rsidRDefault="00ED566A" w:rsidP="00ED566A">
      <w:pPr>
        <w:spacing w:line="360" w:lineRule="auto"/>
        <w:jc w:val="both"/>
      </w:pPr>
    </w:p>
    <w:p w:rsidR="00ED566A" w:rsidRDefault="00ED566A" w:rsidP="00ED566A">
      <w:pPr>
        <w:spacing w:line="360" w:lineRule="auto"/>
        <w:jc w:val="center"/>
        <w:rPr>
          <w:b/>
        </w:rPr>
      </w:pPr>
      <w:r>
        <w:rPr>
          <w:b/>
        </w:rPr>
        <w:t>§ 1.</w:t>
      </w:r>
    </w:p>
    <w:p w:rsidR="00ED566A" w:rsidRDefault="00ED566A" w:rsidP="00ED566A">
      <w:pPr>
        <w:spacing w:line="360" w:lineRule="auto"/>
        <w:jc w:val="both"/>
      </w:pPr>
      <w:r>
        <w:t>Pozytywnie oceniam sytuację ekonomiczno-finansową Samodzielnego Publicznego Zakładu Opieki Zdrowotnej Centrum Rehabilitacji w Elblągu stanowiącą załącznik do niniejszego zarządzenia.</w:t>
      </w:r>
    </w:p>
    <w:p w:rsidR="00ED566A" w:rsidRDefault="00ED566A" w:rsidP="00ED566A">
      <w:pPr>
        <w:spacing w:line="360" w:lineRule="auto"/>
        <w:jc w:val="center"/>
        <w:rPr>
          <w:b/>
        </w:rPr>
      </w:pPr>
      <w:r>
        <w:rPr>
          <w:b/>
        </w:rPr>
        <w:t>§ 2.</w:t>
      </w:r>
    </w:p>
    <w:p w:rsidR="00ED566A" w:rsidRDefault="00ED566A" w:rsidP="00ED566A">
      <w:pPr>
        <w:spacing w:line="360" w:lineRule="auto"/>
        <w:jc w:val="both"/>
      </w:pPr>
      <w:r>
        <w:t>Wykonanie zarządzenia powierza się Dyrektorowi Samodzielnego Publicznego Zakładu Opieki Zdrowotnej Centrum Rehabilitacji w Elblągu.</w:t>
      </w:r>
    </w:p>
    <w:p w:rsidR="00ED566A" w:rsidRDefault="00ED566A" w:rsidP="00ED566A">
      <w:pPr>
        <w:spacing w:line="360" w:lineRule="auto"/>
        <w:jc w:val="center"/>
        <w:rPr>
          <w:b/>
        </w:rPr>
      </w:pPr>
      <w:r>
        <w:rPr>
          <w:b/>
        </w:rPr>
        <w:t>§ 3.</w:t>
      </w:r>
    </w:p>
    <w:p w:rsidR="00ED566A" w:rsidRDefault="00ED566A" w:rsidP="00ED566A">
      <w:pPr>
        <w:spacing w:line="360" w:lineRule="auto"/>
        <w:jc w:val="both"/>
      </w:pPr>
      <w:r>
        <w:t>Zarządzenie wchodzi w życie z dniem podpisania.</w:t>
      </w: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center"/>
        <w:rPr>
          <w:b/>
        </w:rPr>
      </w:pPr>
      <w:r>
        <w:rPr>
          <w:b/>
        </w:rPr>
        <w:t>Uzasadnienie</w:t>
      </w:r>
    </w:p>
    <w:p w:rsidR="00ED566A" w:rsidRDefault="00ED566A" w:rsidP="00ED566A">
      <w:pPr>
        <w:spacing w:line="360" w:lineRule="auto"/>
        <w:jc w:val="both"/>
      </w:pPr>
      <w:r>
        <w:tab/>
        <w:t xml:space="preserve">Na podstawie ustawy o działalności leczniczej kierownik samodzielnego publicznego zakładu opieki zdrowotnej zobowiązany jest do sporządzenia i przekazania raportu o sytuacji ekonomiczno-finansowej SP ZOZ-u. </w:t>
      </w:r>
    </w:p>
    <w:p w:rsidR="00ED566A" w:rsidRDefault="00ED566A" w:rsidP="00ED566A">
      <w:pPr>
        <w:spacing w:line="360" w:lineRule="auto"/>
        <w:jc w:val="both"/>
      </w:pPr>
      <w:r>
        <w:tab/>
        <w:t xml:space="preserve">Sporządzony przez kierownika samodzielnego publicznego zakładu opieki zdrowotnej raport stanowi podstawę do dokonania oceny sytuacji ekonomiczno-finansowej SP ZOZ-u przez jednostkę samorządu terytorialnego. </w:t>
      </w: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both"/>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jc w:val="center"/>
        <w:rPr>
          <w:b/>
        </w:rPr>
      </w:pPr>
    </w:p>
    <w:p w:rsidR="00ED566A" w:rsidRDefault="00ED566A" w:rsidP="00ED566A">
      <w:pPr>
        <w:spacing w:line="360" w:lineRule="auto"/>
        <w:rPr>
          <w:b/>
        </w:rPr>
      </w:pPr>
    </w:p>
    <w:p w:rsidR="00ED566A" w:rsidRDefault="00ED566A" w:rsidP="00ED566A">
      <w:pPr>
        <w:spacing w:line="360" w:lineRule="auto"/>
        <w:contextualSpacing/>
        <w:jc w:val="center"/>
      </w:pPr>
      <w:r>
        <w:rPr>
          <w:b/>
        </w:rPr>
        <w:lastRenderedPageBreak/>
        <w:tab/>
      </w:r>
      <w:r>
        <w:rPr>
          <w:b/>
        </w:rPr>
        <w:tab/>
      </w:r>
      <w:r>
        <w:rPr>
          <w:b/>
        </w:rPr>
        <w:tab/>
      </w:r>
      <w:r>
        <w:rPr>
          <w:b/>
        </w:rPr>
        <w:tab/>
      </w:r>
      <w:r>
        <w:rPr>
          <w:b/>
        </w:rPr>
        <w:tab/>
      </w:r>
      <w:r>
        <w:rPr>
          <w:b/>
        </w:rPr>
        <w:tab/>
      </w:r>
      <w:r>
        <w:t>Załącznik do Zarządzenia Nr …………………</w:t>
      </w:r>
    </w:p>
    <w:p w:rsidR="00ED566A" w:rsidRDefault="00ED566A" w:rsidP="00ED566A">
      <w:pPr>
        <w:spacing w:line="360" w:lineRule="auto"/>
        <w:ind w:left="2124" w:firstLine="708"/>
        <w:contextualSpacing/>
        <w:jc w:val="center"/>
      </w:pPr>
      <w:r>
        <w:t>Prezydenta Miasta Elbląg</w:t>
      </w:r>
    </w:p>
    <w:p w:rsidR="00ED566A" w:rsidRDefault="00ED566A" w:rsidP="00ED566A">
      <w:pPr>
        <w:spacing w:line="360" w:lineRule="auto"/>
        <w:ind w:left="2124"/>
        <w:contextualSpacing/>
        <w:jc w:val="center"/>
      </w:pPr>
      <w:r>
        <w:t xml:space="preserve">                     z dnia …………………………………..</w:t>
      </w:r>
    </w:p>
    <w:p w:rsidR="00665A98" w:rsidRDefault="00ED566A" w:rsidP="00ED566A">
      <w:pPr>
        <w:spacing w:line="360" w:lineRule="auto"/>
        <w:contextualSpacing/>
        <w:jc w:val="center"/>
        <w:rPr>
          <w:b/>
          <w:sz w:val="32"/>
          <w:szCs w:val="32"/>
        </w:rPr>
      </w:pPr>
      <w:r w:rsidRPr="00ED566A">
        <w:rPr>
          <w:b/>
          <w:sz w:val="32"/>
          <w:szCs w:val="32"/>
        </w:rPr>
        <w:t xml:space="preserve">Ocena sytuacji ekonomiczno-finansowej             </w:t>
      </w:r>
    </w:p>
    <w:p w:rsidR="00ED566A" w:rsidRPr="00ED566A" w:rsidRDefault="00ED566A" w:rsidP="00ED566A">
      <w:pPr>
        <w:spacing w:line="360" w:lineRule="auto"/>
        <w:contextualSpacing/>
        <w:jc w:val="center"/>
        <w:rPr>
          <w:b/>
          <w:sz w:val="32"/>
          <w:szCs w:val="32"/>
        </w:rPr>
      </w:pPr>
      <w:r w:rsidRPr="00ED566A">
        <w:rPr>
          <w:b/>
          <w:sz w:val="32"/>
          <w:szCs w:val="32"/>
        </w:rPr>
        <w:t>samodzielnego publicznego zakładu opieki zdrowotnej</w:t>
      </w:r>
    </w:p>
    <w:p w:rsidR="00ED566A" w:rsidRPr="00ED566A" w:rsidRDefault="00ED566A" w:rsidP="00ED566A">
      <w:pPr>
        <w:spacing w:line="360" w:lineRule="auto"/>
        <w:contextualSpacing/>
        <w:jc w:val="center"/>
        <w:rPr>
          <w:b/>
          <w:sz w:val="32"/>
          <w:szCs w:val="32"/>
        </w:rPr>
      </w:pPr>
      <w:r w:rsidRPr="00ED566A">
        <w:rPr>
          <w:b/>
          <w:sz w:val="32"/>
          <w:szCs w:val="32"/>
        </w:rPr>
        <w:t>SP ZOZ CENTRUM REHABILITACJI w Elblągu, ul. Królewiecka 15</w:t>
      </w:r>
    </w:p>
    <w:p w:rsidR="00ED566A" w:rsidRPr="00ED566A" w:rsidRDefault="00ED566A" w:rsidP="00ED566A">
      <w:pPr>
        <w:pStyle w:val="Akapitzlist"/>
        <w:numPr>
          <w:ilvl w:val="0"/>
          <w:numId w:val="2"/>
        </w:numPr>
        <w:jc w:val="both"/>
        <w:rPr>
          <w:b/>
        </w:rPr>
      </w:pPr>
      <w:r w:rsidRPr="00ED47B5">
        <w:rPr>
          <w:b/>
        </w:rPr>
        <w:t>Ocena formalna</w:t>
      </w:r>
    </w:p>
    <w:p w:rsidR="00ED566A" w:rsidRDefault="00ED566A" w:rsidP="00ED566A">
      <w:pPr>
        <w:pStyle w:val="Akapitzlist"/>
        <w:spacing w:line="360" w:lineRule="auto"/>
        <w:ind w:left="0" w:firstLine="357"/>
        <w:jc w:val="both"/>
      </w:pPr>
      <w:r>
        <w:t xml:space="preserve">Zgodnie z art. 53a ust. 4 ustawy z dnia 15 kwietnia 2011r. o działalności  leczniczej (Dz. U. z 2016r. poz. 1638 z </w:t>
      </w:r>
      <w:proofErr w:type="spellStart"/>
      <w:r>
        <w:t>późn</w:t>
      </w:r>
      <w:proofErr w:type="spellEnd"/>
      <w:r>
        <w:t xml:space="preserve">. zm. ) oraz z Rozporządzeniem Ministra Zdrowia z dnia 12 kwietnia 2017r. w sprawie wskaźników ekonomiczno – finansowych niezbędnych do sporządzenia analizy oraz prognozy sytuacji ekonomiczno – finansowej samodzielnych publicznych zakładów opieki zdrowotnej SPSZOZ sporządza analizę sytuacji ekonomiczno – finansowej. </w:t>
      </w:r>
    </w:p>
    <w:p w:rsidR="00ED566A" w:rsidRPr="00C97F6A" w:rsidRDefault="00ED566A" w:rsidP="00ED566A">
      <w:pPr>
        <w:pStyle w:val="Akapitzlist"/>
        <w:spacing w:line="360" w:lineRule="auto"/>
        <w:ind w:left="0" w:firstLine="357"/>
        <w:jc w:val="both"/>
      </w:pPr>
      <w:r w:rsidRPr="00C97F6A">
        <w:t xml:space="preserve">SP ZOZ CENTRUM REHABILITACJI w Elblągu </w:t>
      </w:r>
      <w:r>
        <w:t xml:space="preserve">raport o </w:t>
      </w:r>
      <w:r w:rsidRPr="00C97F6A">
        <w:t xml:space="preserve">sytuacji </w:t>
      </w:r>
      <w:r>
        <w:t>ekonomiczno – finansowej za rok 2016 sporządził zgodnie z wymogami formalnymi. Zaprezentowane w raporcie wskaźniki: zyskowności,  płynności finansowej,  efektywności zarządzania przepływami finansowymi, zadłużenia jednostki zostały poprawnie skalkulowane.</w:t>
      </w:r>
    </w:p>
    <w:p w:rsidR="00ED566A" w:rsidRDefault="00ED566A" w:rsidP="00ED566A">
      <w:pPr>
        <w:pStyle w:val="Akapitzlist"/>
        <w:spacing w:line="360" w:lineRule="auto"/>
        <w:ind w:left="0" w:firstLine="357"/>
        <w:jc w:val="both"/>
      </w:pPr>
      <w:r>
        <w:t>Ponadto raport ten uwzględnia wszystkie obowiązkowe elementy, wobec powyższego stwierdza się kompletność danych przedstawionych w raporcie.</w:t>
      </w:r>
    </w:p>
    <w:p w:rsidR="00ED566A" w:rsidRDefault="00ED566A" w:rsidP="00ED566A">
      <w:pPr>
        <w:pStyle w:val="Akapitzlist"/>
        <w:numPr>
          <w:ilvl w:val="0"/>
          <w:numId w:val="2"/>
        </w:numPr>
        <w:spacing w:line="240" w:lineRule="auto"/>
        <w:jc w:val="both"/>
        <w:rPr>
          <w:b/>
        </w:rPr>
      </w:pPr>
      <w:r>
        <w:rPr>
          <w:b/>
        </w:rPr>
        <w:t>Ocena merytoryczna</w:t>
      </w:r>
    </w:p>
    <w:p w:rsidR="00ED566A" w:rsidRPr="00604F5E" w:rsidRDefault="00ED566A" w:rsidP="00ED566A">
      <w:pPr>
        <w:spacing w:line="240" w:lineRule="auto"/>
        <w:jc w:val="both"/>
        <w:rPr>
          <w:b/>
          <w:sz w:val="24"/>
          <w:szCs w:val="24"/>
          <w:u w:val="single"/>
        </w:rPr>
      </w:pPr>
      <w:r w:rsidRPr="00604F5E">
        <w:rPr>
          <w:b/>
          <w:sz w:val="24"/>
          <w:szCs w:val="24"/>
          <w:u w:val="single"/>
        </w:rPr>
        <w:t>Punktowa</w:t>
      </w:r>
    </w:p>
    <w:tbl>
      <w:tblPr>
        <w:tblW w:w="9654" w:type="dxa"/>
        <w:tblInd w:w="55" w:type="dxa"/>
        <w:tblLayout w:type="fixed"/>
        <w:tblCellMar>
          <w:left w:w="70" w:type="dxa"/>
          <w:right w:w="70" w:type="dxa"/>
        </w:tblCellMar>
        <w:tblLook w:val="04A0" w:firstRow="1" w:lastRow="0" w:firstColumn="1" w:lastColumn="0" w:noHBand="0" w:noVBand="1"/>
      </w:tblPr>
      <w:tblGrid>
        <w:gridCol w:w="1858"/>
        <w:gridCol w:w="3260"/>
        <w:gridCol w:w="1560"/>
        <w:gridCol w:w="1559"/>
        <w:gridCol w:w="1417"/>
      </w:tblGrid>
      <w:tr w:rsidR="00ED566A" w:rsidRPr="00CB2E0F" w:rsidTr="00ED566A">
        <w:trPr>
          <w:trHeight w:val="330"/>
        </w:trPr>
        <w:tc>
          <w:tcPr>
            <w:tcW w:w="1858" w:type="dxa"/>
            <w:vMerge w:val="restart"/>
            <w:tcBorders>
              <w:top w:val="single" w:sz="4" w:space="0" w:color="auto"/>
              <w:left w:val="single" w:sz="8" w:space="0" w:color="auto"/>
              <w:bottom w:val="single" w:sz="8" w:space="0" w:color="000000"/>
              <w:right w:val="single" w:sz="8" w:space="0" w:color="auto"/>
            </w:tcBorders>
            <w:shd w:val="clear" w:color="auto" w:fill="auto"/>
            <w:noWrap/>
            <w:vAlign w:val="center"/>
            <w:hideMark/>
          </w:tcPr>
          <w:p w:rsidR="00ED566A" w:rsidRPr="00E620E0" w:rsidRDefault="00ED566A" w:rsidP="00D27521">
            <w:pPr>
              <w:spacing w:after="0" w:line="240" w:lineRule="auto"/>
              <w:jc w:val="center"/>
              <w:rPr>
                <w:rFonts w:ascii="Garamond" w:eastAsia="Times New Roman" w:hAnsi="Garamond" w:cs="Arial"/>
                <w:b/>
                <w:sz w:val="20"/>
                <w:szCs w:val="20"/>
              </w:rPr>
            </w:pPr>
            <w:r w:rsidRPr="00E620E0">
              <w:rPr>
                <w:rFonts w:ascii="Garamond" w:eastAsia="Times New Roman" w:hAnsi="Garamond" w:cs="Arial"/>
                <w:b/>
                <w:sz w:val="20"/>
                <w:szCs w:val="20"/>
              </w:rPr>
              <w:t>Grupa</w:t>
            </w:r>
          </w:p>
        </w:tc>
        <w:tc>
          <w:tcPr>
            <w:tcW w:w="3260" w:type="dxa"/>
            <w:vMerge w:val="restart"/>
            <w:tcBorders>
              <w:top w:val="single" w:sz="4" w:space="0" w:color="auto"/>
              <w:left w:val="single" w:sz="8" w:space="0" w:color="auto"/>
              <w:bottom w:val="single" w:sz="8" w:space="0" w:color="000000"/>
              <w:right w:val="nil"/>
            </w:tcBorders>
            <w:shd w:val="clear" w:color="auto" w:fill="auto"/>
            <w:vAlign w:val="center"/>
            <w:hideMark/>
          </w:tcPr>
          <w:p w:rsidR="00ED566A" w:rsidRPr="00E620E0" w:rsidRDefault="00ED566A" w:rsidP="00D27521">
            <w:pPr>
              <w:spacing w:after="0" w:line="240" w:lineRule="auto"/>
              <w:jc w:val="center"/>
              <w:rPr>
                <w:rFonts w:ascii="Garamond" w:eastAsia="Times New Roman" w:hAnsi="Garamond" w:cs="Arial"/>
                <w:b/>
              </w:rPr>
            </w:pPr>
            <w:r w:rsidRPr="00E620E0">
              <w:rPr>
                <w:rFonts w:ascii="Garamond" w:eastAsia="Times New Roman" w:hAnsi="Garamond" w:cs="Arial"/>
                <w:b/>
              </w:rPr>
              <w:t>Wskaźniki</w:t>
            </w:r>
          </w:p>
        </w:tc>
        <w:tc>
          <w:tcPr>
            <w:tcW w:w="1560" w:type="dxa"/>
            <w:tcBorders>
              <w:top w:val="single" w:sz="8" w:space="0" w:color="auto"/>
              <w:left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18"/>
                <w:szCs w:val="18"/>
              </w:rPr>
            </w:pPr>
          </w:p>
        </w:tc>
        <w:tc>
          <w:tcPr>
            <w:tcW w:w="1559" w:type="dxa"/>
            <w:tcBorders>
              <w:top w:val="single" w:sz="8" w:space="0" w:color="auto"/>
              <w:left w:val="single" w:sz="4" w:space="0" w:color="auto"/>
              <w:right w:val="single" w:sz="4"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sz w:val="18"/>
                <w:szCs w:val="18"/>
              </w:rPr>
            </w:pPr>
          </w:p>
        </w:tc>
        <w:tc>
          <w:tcPr>
            <w:tcW w:w="1417" w:type="dxa"/>
            <w:vMerge w:val="restart"/>
            <w:tcBorders>
              <w:top w:val="single" w:sz="8" w:space="0" w:color="auto"/>
              <w:left w:val="single" w:sz="4" w:space="0" w:color="auto"/>
              <w:right w:val="single" w:sz="8" w:space="0" w:color="000000"/>
            </w:tcBorders>
            <w:shd w:val="clear" w:color="auto" w:fill="auto"/>
            <w:vAlign w:val="center"/>
          </w:tcPr>
          <w:p w:rsidR="00ED566A" w:rsidRDefault="00ED566A" w:rsidP="00D27521">
            <w:pPr>
              <w:spacing w:after="0" w:line="240" w:lineRule="auto"/>
              <w:jc w:val="center"/>
              <w:rPr>
                <w:rFonts w:ascii="Garamond" w:eastAsia="Times New Roman" w:hAnsi="Garamond" w:cs="Arial"/>
                <w:b/>
                <w:bCs/>
                <w:sz w:val="18"/>
                <w:szCs w:val="18"/>
              </w:rPr>
            </w:pPr>
          </w:p>
          <w:p w:rsidR="00ED566A" w:rsidRPr="00CB2E0F" w:rsidRDefault="00ED566A" w:rsidP="00D27521">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Maksymalna ilość punktów do uzyskania zgodnie z Rozporządzeniem Ministra Zdrowia</w:t>
            </w:r>
          </w:p>
        </w:tc>
      </w:tr>
      <w:tr w:rsidR="00ED566A" w:rsidRPr="00CB2E0F" w:rsidTr="00ED566A">
        <w:trPr>
          <w:trHeight w:val="540"/>
        </w:trPr>
        <w:tc>
          <w:tcPr>
            <w:tcW w:w="1858" w:type="dxa"/>
            <w:vMerge/>
            <w:tcBorders>
              <w:top w:val="nil"/>
              <w:left w:val="single" w:sz="8" w:space="0" w:color="auto"/>
              <w:bottom w:val="single" w:sz="8" w:space="0" w:color="000000"/>
              <w:right w:val="single" w:sz="8" w:space="0" w:color="auto"/>
            </w:tcBorders>
            <w:vAlign w:val="center"/>
            <w:hideMark/>
          </w:tcPr>
          <w:p w:rsidR="00ED566A" w:rsidRPr="00CB2E0F" w:rsidRDefault="00ED566A" w:rsidP="00D27521">
            <w:pPr>
              <w:spacing w:after="0" w:line="240" w:lineRule="auto"/>
              <w:rPr>
                <w:rFonts w:ascii="Garamond" w:eastAsia="Times New Roman" w:hAnsi="Garamond" w:cs="Arial"/>
                <w:sz w:val="20"/>
                <w:szCs w:val="20"/>
              </w:rPr>
            </w:pPr>
          </w:p>
        </w:tc>
        <w:tc>
          <w:tcPr>
            <w:tcW w:w="3260" w:type="dxa"/>
            <w:vMerge/>
            <w:tcBorders>
              <w:top w:val="nil"/>
              <w:left w:val="single" w:sz="8" w:space="0" w:color="auto"/>
              <w:bottom w:val="single" w:sz="8" w:space="0" w:color="000000"/>
              <w:right w:val="nil"/>
            </w:tcBorders>
            <w:vAlign w:val="center"/>
            <w:hideMark/>
          </w:tcPr>
          <w:p w:rsidR="00ED566A" w:rsidRPr="00CB2E0F" w:rsidRDefault="00ED566A" w:rsidP="00D27521">
            <w:pPr>
              <w:spacing w:after="0" w:line="240" w:lineRule="auto"/>
              <w:rPr>
                <w:rFonts w:ascii="Garamond" w:eastAsia="Times New Roman" w:hAnsi="Garamond" w:cs="Arial"/>
              </w:rPr>
            </w:pPr>
          </w:p>
        </w:tc>
        <w:tc>
          <w:tcPr>
            <w:tcW w:w="1560" w:type="dxa"/>
            <w:tcBorders>
              <w:top w:val="nil"/>
              <w:left w:val="single" w:sz="8"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Wskaźnik</w:t>
            </w:r>
          </w:p>
        </w:tc>
        <w:tc>
          <w:tcPr>
            <w:tcW w:w="1559" w:type="dxa"/>
            <w:tcBorders>
              <w:top w:val="nil"/>
              <w:left w:val="nil"/>
              <w:bottom w:val="single" w:sz="8" w:space="0" w:color="auto"/>
              <w:right w:val="single" w:sz="4" w:space="0" w:color="auto"/>
            </w:tcBorders>
            <w:shd w:val="clear" w:color="auto" w:fill="FFFFFF" w:themeFill="background1"/>
            <w:vAlign w:val="center"/>
            <w:hideMark/>
          </w:tcPr>
          <w:p w:rsidR="00ED566A" w:rsidRDefault="00ED566A" w:rsidP="00D27521">
            <w:pPr>
              <w:spacing w:after="0" w:line="240" w:lineRule="auto"/>
              <w:jc w:val="center"/>
              <w:rPr>
                <w:rFonts w:ascii="Garamond" w:eastAsia="Times New Roman" w:hAnsi="Garamond" w:cs="Arial"/>
                <w:b/>
                <w:bCs/>
                <w:sz w:val="18"/>
                <w:szCs w:val="18"/>
              </w:rPr>
            </w:pPr>
            <w:r w:rsidRPr="00CB2E0F">
              <w:rPr>
                <w:rFonts w:ascii="Garamond" w:eastAsia="Times New Roman" w:hAnsi="Garamond" w:cs="Arial"/>
                <w:b/>
                <w:bCs/>
                <w:sz w:val="18"/>
                <w:szCs w:val="18"/>
              </w:rPr>
              <w:t>Ilość punktów</w:t>
            </w:r>
          </w:p>
          <w:p w:rsidR="00ED566A" w:rsidRPr="00CB2E0F" w:rsidRDefault="00ED566A" w:rsidP="00D27521">
            <w:pPr>
              <w:spacing w:after="0" w:line="240" w:lineRule="auto"/>
              <w:jc w:val="center"/>
              <w:rPr>
                <w:rFonts w:ascii="Garamond" w:eastAsia="Times New Roman" w:hAnsi="Garamond" w:cs="Arial"/>
                <w:b/>
                <w:bCs/>
                <w:sz w:val="18"/>
                <w:szCs w:val="18"/>
              </w:rPr>
            </w:pPr>
            <w:r>
              <w:rPr>
                <w:rFonts w:ascii="Garamond" w:eastAsia="Times New Roman" w:hAnsi="Garamond" w:cs="Arial"/>
                <w:b/>
                <w:bCs/>
                <w:sz w:val="18"/>
                <w:szCs w:val="18"/>
              </w:rPr>
              <w:t xml:space="preserve">uzyskanych przez </w:t>
            </w:r>
            <w:proofErr w:type="spellStart"/>
            <w:r>
              <w:rPr>
                <w:rFonts w:ascii="Garamond" w:eastAsia="Times New Roman" w:hAnsi="Garamond" w:cs="Arial"/>
                <w:b/>
                <w:bCs/>
                <w:sz w:val="18"/>
                <w:szCs w:val="18"/>
              </w:rPr>
              <w:t>spzoz</w:t>
            </w:r>
            <w:proofErr w:type="spellEnd"/>
          </w:p>
        </w:tc>
        <w:tc>
          <w:tcPr>
            <w:tcW w:w="1417" w:type="dxa"/>
            <w:vMerge/>
            <w:tcBorders>
              <w:left w:val="single" w:sz="4" w:space="0" w:color="auto"/>
              <w:bottom w:val="single" w:sz="8" w:space="0" w:color="auto"/>
              <w:right w:val="single" w:sz="8" w:space="0" w:color="000000"/>
            </w:tcBorders>
            <w:shd w:val="clear" w:color="000000" w:fill="FFCC00"/>
            <w:vAlign w:val="center"/>
          </w:tcPr>
          <w:p w:rsidR="00ED566A" w:rsidRPr="00CB2E0F" w:rsidRDefault="00ED566A" w:rsidP="00D27521">
            <w:pPr>
              <w:spacing w:after="0" w:line="240" w:lineRule="auto"/>
              <w:rPr>
                <w:rFonts w:ascii="Garamond" w:eastAsia="Times New Roman" w:hAnsi="Garamond" w:cs="Arial"/>
                <w:b/>
                <w:bCs/>
                <w:sz w:val="18"/>
                <w:szCs w:val="18"/>
              </w:rPr>
            </w:pPr>
          </w:p>
        </w:tc>
      </w:tr>
      <w:tr w:rsidR="00ED566A" w:rsidRPr="00CB2E0F" w:rsidTr="00ED566A">
        <w:trPr>
          <w:trHeight w:val="720"/>
        </w:trPr>
        <w:tc>
          <w:tcPr>
            <w:tcW w:w="1858" w:type="dxa"/>
            <w:vMerge w:val="restart"/>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ZYSKOWNOŚCI</w:t>
            </w:r>
          </w:p>
        </w:tc>
        <w:tc>
          <w:tcPr>
            <w:tcW w:w="3260"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zyskowności  netto  (%)                                                           </w:t>
            </w:r>
          </w:p>
        </w:tc>
        <w:tc>
          <w:tcPr>
            <w:tcW w:w="1560" w:type="dxa"/>
            <w:tcBorders>
              <w:top w:val="single" w:sz="4" w:space="0" w:color="auto"/>
              <w:left w:val="single" w:sz="8" w:space="0" w:color="auto"/>
              <w:bottom w:val="single" w:sz="4" w:space="0" w:color="auto"/>
              <w:right w:val="single" w:sz="4" w:space="0" w:color="auto"/>
            </w:tcBorders>
            <w:shd w:val="clear" w:color="auto" w:fill="auto"/>
            <w:noWrap/>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0,2786716</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3</w:t>
            </w:r>
          </w:p>
        </w:tc>
        <w:tc>
          <w:tcPr>
            <w:tcW w:w="1417" w:type="dxa"/>
            <w:tcBorders>
              <w:top w:val="single" w:sz="4"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Comic Sans MS" w:eastAsia="Times New Roman" w:hAnsi="Comic Sans MS" w:cs="Arial"/>
                <w:sz w:val="20"/>
                <w:szCs w:val="20"/>
              </w:rPr>
            </w:pPr>
            <w:r>
              <w:rPr>
                <w:rFonts w:ascii="Comic Sans MS" w:eastAsia="Times New Roman" w:hAnsi="Comic Sans MS" w:cs="Arial"/>
                <w:sz w:val="20"/>
                <w:szCs w:val="20"/>
              </w:rPr>
              <w:t>5</w:t>
            </w:r>
          </w:p>
        </w:tc>
      </w:tr>
      <w:tr w:rsidR="00ED566A" w:rsidRPr="00CB2E0F" w:rsidTr="00ED566A">
        <w:trPr>
          <w:trHeight w:val="945"/>
        </w:trPr>
        <w:tc>
          <w:tcPr>
            <w:tcW w:w="1858" w:type="dxa"/>
            <w:vMerge/>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3260"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zyskowności działalności operacyjnej (%)            </w:t>
            </w:r>
          </w:p>
        </w:tc>
        <w:tc>
          <w:tcPr>
            <w:tcW w:w="1560"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0,2787485</w:t>
            </w:r>
          </w:p>
        </w:tc>
        <w:tc>
          <w:tcPr>
            <w:tcW w:w="1559" w:type="dxa"/>
            <w:tcBorders>
              <w:top w:val="single" w:sz="4"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417"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5</w:t>
            </w:r>
          </w:p>
        </w:tc>
      </w:tr>
      <w:tr w:rsidR="00ED566A" w:rsidRPr="00CB2E0F" w:rsidTr="00ED566A">
        <w:trPr>
          <w:trHeight w:val="675"/>
        </w:trPr>
        <w:tc>
          <w:tcPr>
            <w:tcW w:w="1858" w:type="dxa"/>
            <w:vMerge/>
            <w:tcBorders>
              <w:top w:val="nil"/>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3260" w:type="dxa"/>
            <w:tcBorders>
              <w:top w:val="nil"/>
              <w:left w:val="nil"/>
              <w:bottom w:val="nil"/>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zyskowność aktywów (%)</w:t>
            </w:r>
          </w:p>
        </w:tc>
        <w:tc>
          <w:tcPr>
            <w:tcW w:w="1560" w:type="dxa"/>
            <w:tcBorders>
              <w:top w:val="nil"/>
              <w:left w:val="single" w:sz="8" w:space="0" w:color="auto"/>
              <w:bottom w:val="nil"/>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color w:val="000000"/>
              </w:rPr>
            </w:pPr>
            <w:r>
              <w:rPr>
                <w:rFonts w:ascii="Garamond" w:eastAsia="Times New Roman" w:hAnsi="Garamond" w:cs="Arial"/>
                <w:color w:val="000000"/>
              </w:rPr>
              <w:t>0,4636987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417"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5</w:t>
            </w:r>
          </w:p>
        </w:tc>
      </w:tr>
      <w:tr w:rsidR="00ED566A" w:rsidRPr="00CB2E0F" w:rsidTr="00ED566A">
        <w:trPr>
          <w:trHeight w:val="315"/>
        </w:trPr>
        <w:tc>
          <w:tcPr>
            <w:tcW w:w="5118" w:type="dxa"/>
            <w:gridSpan w:val="2"/>
            <w:tcBorders>
              <w:top w:val="single" w:sz="8" w:space="0" w:color="auto"/>
              <w:left w:val="nil"/>
              <w:bottom w:val="nil"/>
              <w:right w:val="nil"/>
            </w:tcBorders>
            <w:shd w:val="clear" w:color="000000" w:fill="FFFFFF"/>
            <w:noWrap/>
            <w:vAlign w:val="center"/>
            <w:hideMark/>
          </w:tcPr>
          <w:p w:rsidR="00ED566A" w:rsidRDefault="00ED566A" w:rsidP="00D27521">
            <w:pPr>
              <w:spacing w:after="0" w:line="240" w:lineRule="auto"/>
              <w:rPr>
                <w:rFonts w:ascii="Garamond" w:eastAsia="Times New Roman" w:hAnsi="Garamond" w:cs="Arial"/>
                <w:b/>
                <w:bCs/>
                <w:sz w:val="20"/>
                <w:szCs w:val="20"/>
              </w:rPr>
            </w:pPr>
          </w:p>
          <w:p w:rsidR="00ED566A" w:rsidRDefault="00ED566A" w:rsidP="00D27521">
            <w:pPr>
              <w:spacing w:after="0" w:line="240" w:lineRule="auto"/>
              <w:rPr>
                <w:rFonts w:ascii="Garamond" w:eastAsia="Times New Roman" w:hAnsi="Garamond" w:cs="Arial"/>
                <w:b/>
                <w:bCs/>
                <w:sz w:val="20"/>
                <w:szCs w:val="20"/>
              </w:rPr>
            </w:pPr>
          </w:p>
          <w:p w:rsidR="00ED566A" w:rsidRDefault="00ED566A" w:rsidP="00D27521">
            <w:pPr>
              <w:spacing w:after="0" w:line="240" w:lineRule="auto"/>
              <w:rPr>
                <w:rFonts w:ascii="Garamond" w:eastAsia="Times New Roman" w:hAnsi="Garamond" w:cs="Arial"/>
                <w:b/>
                <w:bCs/>
                <w:sz w:val="20"/>
                <w:szCs w:val="20"/>
              </w:rPr>
            </w:pPr>
          </w:p>
          <w:p w:rsidR="00ED566A" w:rsidRPr="00CB2E0F" w:rsidRDefault="00ED566A" w:rsidP="00D27521">
            <w:pPr>
              <w:spacing w:after="0" w:line="240" w:lineRule="auto"/>
              <w:rPr>
                <w:rFonts w:ascii="Garamond" w:eastAsia="Times New Roman" w:hAnsi="Garamond" w:cs="Arial"/>
                <w:b/>
                <w:bCs/>
                <w:sz w:val="20"/>
                <w:szCs w:val="20"/>
              </w:rPr>
            </w:pPr>
          </w:p>
        </w:tc>
        <w:tc>
          <w:tcPr>
            <w:tcW w:w="1560" w:type="dxa"/>
            <w:tcBorders>
              <w:top w:val="single" w:sz="8" w:space="0" w:color="auto"/>
              <w:left w:val="single" w:sz="8"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zyskowności:</w:t>
            </w:r>
          </w:p>
        </w:tc>
        <w:tc>
          <w:tcPr>
            <w:tcW w:w="1559" w:type="dxa"/>
            <w:tcBorders>
              <w:top w:val="single" w:sz="8" w:space="0" w:color="auto"/>
              <w:left w:val="single" w:sz="4" w:space="0" w:color="auto"/>
              <w:bottom w:val="single" w:sz="8" w:space="0" w:color="auto"/>
              <w:right w:val="single" w:sz="4" w:space="0" w:color="auto"/>
            </w:tcBorders>
            <w:shd w:val="clear" w:color="auto" w:fill="FFFFFF" w:themeFill="background1"/>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9</w:t>
            </w:r>
          </w:p>
        </w:tc>
        <w:tc>
          <w:tcPr>
            <w:tcW w:w="1417" w:type="dxa"/>
            <w:tcBorders>
              <w:top w:val="single" w:sz="8" w:space="0" w:color="auto"/>
              <w:left w:val="single" w:sz="4" w:space="0" w:color="auto"/>
              <w:bottom w:val="single" w:sz="8" w:space="0" w:color="auto"/>
              <w:right w:val="single" w:sz="8" w:space="0" w:color="auto"/>
            </w:tcBorders>
            <w:shd w:val="clear" w:color="auto" w:fill="FFFFFF" w:themeFill="background1"/>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15</w:t>
            </w:r>
          </w:p>
        </w:tc>
      </w:tr>
    </w:tbl>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r w:rsidRPr="00E9628C">
        <w:rPr>
          <w:rFonts w:asciiTheme="minorHAnsi" w:hAnsiTheme="minorHAnsi" w:cs="Arial"/>
          <w:b/>
          <w:color w:val="000000"/>
          <w:sz w:val="22"/>
          <w:szCs w:val="22"/>
        </w:rPr>
        <w:t xml:space="preserve">wskaźniki zyskowności </w:t>
      </w:r>
      <w:r>
        <w:rPr>
          <w:rFonts w:asciiTheme="minorHAnsi" w:hAnsiTheme="minorHAnsi" w:cs="Arial"/>
          <w:color w:val="000000"/>
          <w:sz w:val="22"/>
          <w:szCs w:val="22"/>
        </w:rPr>
        <w:t>– ocena 9 punktów/na max.15 punktów:</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a) wskaźnik zyskowności netto (%) – wskaźnik ten pokazuje jaką część przychodów stanowi odnotowany zysk lub strata. W 2016 roku zysk stanowi 0,2786716 części przychodów, przypisana wartość punktowa wynosi 3.</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b) wskaźnik zyskowności działalności operacyjnej (%) – określa ekonomiczną efektywność działania podmiotu, z uwzględnieniem działalności podstawowej oraz pozostałej działalności operacyjnej. W roku 2016 wskaźnik ten wynosi 0,2787485, przypisana wartość punktowa wynosi 3. </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c) wskaźnik zyskowności aktywów (%) – informuje o wielkości zysku lub straty przypadającej na jednostkę wartości zaangażowanych w podmiocie aktywów, czyli wyznacza on ogólną zdolność aktywów podmiotu do generowania zysku. W roku 2016 wskaźnik ten wynosi 0,4636587. Przypisana wartość punktowa wynosi 3.</w:t>
      </w:r>
    </w:p>
    <w:p w:rsidR="00ED566A" w:rsidRDefault="00ED566A" w:rsidP="00ED566A">
      <w:pPr>
        <w:pStyle w:val="NormalnyWeb"/>
        <w:shd w:val="clear" w:color="auto" w:fill="FFFFFF"/>
        <w:spacing w:before="0" w:beforeAutospacing="0" w:after="225" w:afterAutospacing="0" w:line="360" w:lineRule="auto"/>
        <w:jc w:val="both"/>
        <w:rPr>
          <w:rFonts w:asciiTheme="minorHAnsi" w:hAnsiTheme="minorHAnsi" w:cs="Arial"/>
          <w:color w:val="000000"/>
          <w:sz w:val="22"/>
          <w:szCs w:val="22"/>
        </w:rPr>
      </w:pPr>
      <w:r>
        <w:rPr>
          <w:rFonts w:asciiTheme="minorHAnsi" w:hAnsiTheme="minorHAnsi" w:cs="Arial"/>
          <w:color w:val="000000"/>
          <w:sz w:val="22"/>
          <w:szCs w:val="22"/>
        </w:rPr>
        <w:t xml:space="preserve">Nieznaczna różnica między wskaźnikami zyskowności netto a zyskowności działalności operacyjnej wynika z poniesienia niskich kosztów finansowych. </w:t>
      </w:r>
    </w:p>
    <w:p w:rsidR="00ED566A" w:rsidRDefault="00ED566A" w:rsidP="00957888">
      <w:pPr>
        <w:pStyle w:val="NormalnyWeb"/>
        <w:shd w:val="clear" w:color="auto" w:fill="FFFFFF"/>
        <w:spacing w:before="0" w:beforeAutospacing="0" w:after="225" w:afterAutospacing="0" w:line="360" w:lineRule="auto"/>
        <w:jc w:val="both"/>
        <w:rPr>
          <w:rFonts w:asciiTheme="minorHAnsi" w:hAnsiTheme="minorHAnsi" w:cs="Arial"/>
          <w:bCs/>
          <w:sz w:val="22"/>
          <w:szCs w:val="22"/>
        </w:rPr>
      </w:pPr>
      <w:r w:rsidRPr="0013438C">
        <w:rPr>
          <w:rFonts w:asciiTheme="minorHAnsi" w:hAnsiTheme="minorHAnsi" w:cs="Arial"/>
          <w:color w:val="000000"/>
          <w:sz w:val="22"/>
          <w:szCs w:val="22"/>
        </w:rPr>
        <w:t>Wskaźniki zyskowności</w:t>
      </w:r>
      <w:r w:rsidRPr="0013438C">
        <w:rPr>
          <w:rFonts w:ascii="Garamond" w:hAnsi="Garamond" w:cs="Arial"/>
          <w:bCs/>
          <w:sz w:val="20"/>
          <w:szCs w:val="20"/>
        </w:rPr>
        <w:t xml:space="preserve"> </w:t>
      </w:r>
      <w:r w:rsidRPr="0013438C">
        <w:rPr>
          <w:rFonts w:asciiTheme="minorHAnsi" w:hAnsiTheme="minorHAnsi" w:cs="Arial"/>
          <w:bCs/>
          <w:sz w:val="22"/>
          <w:szCs w:val="22"/>
        </w:rPr>
        <w:t>określają zdolność podm</w:t>
      </w:r>
      <w:r>
        <w:rPr>
          <w:rFonts w:asciiTheme="minorHAnsi" w:hAnsiTheme="minorHAnsi" w:cs="Arial"/>
          <w:bCs/>
          <w:sz w:val="22"/>
          <w:szCs w:val="22"/>
        </w:rPr>
        <w:t xml:space="preserve">iotu do generowania zysków, a zatem ekonomiczną efektywność działalności. Centrum Rehabilitacji uzyskało dodatnie wartości w/w wskaźników co świadczy o racjonalnym gospodarowaniu , przychody podmiotu przewyższają koszty. </w:t>
      </w:r>
    </w:p>
    <w:p w:rsidR="00ED566A" w:rsidRPr="0013438C" w:rsidRDefault="00ED566A" w:rsidP="00957888">
      <w:pPr>
        <w:pStyle w:val="NormalnyWeb"/>
        <w:shd w:val="clear" w:color="auto" w:fill="FFFFFF"/>
        <w:spacing w:before="0" w:beforeAutospacing="0" w:after="225" w:afterAutospacing="0" w:line="360" w:lineRule="auto"/>
        <w:jc w:val="both"/>
        <w:rPr>
          <w:rFonts w:asciiTheme="minorHAnsi" w:hAnsiTheme="minorHAnsi" w:cs="Arial"/>
          <w:bCs/>
          <w:sz w:val="22"/>
          <w:szCs w:val="22"/>
        </w:rPr>
      </w:pPr>
      <w:r>
        <w:rPr>
          <w:rFonts w:asciiTheme="minorHAnsi" w:hAnsiTheme="minorHAnsi" w:cs="Arial"/>
          <w:bCs/>
          <w:sz w:val="22"/>
          <w:szCs w:val="22"/>
        </w:rPr>
        <w:t>Reasumując  należy podkreślić , że im większe wartości</w:t>
      </w:r>
      <w:r w:rsidR="00957888">
        <w:rPr>
          <w:rFonts w:asciiTheme="minorHAnsi" w:hAnsiTheme="minorHAnsi" w:cs="Arial"/>
          <w:bCs/>
          <w:sz w:val="22"/>
          <w:szCs w:val="22"/>
        </w:rPr>
        <w:t xml:space="preserve"> przyjmuje wskaźnik zyskowności</w:t>
      </w:r>
      <w:r>
        <w:rPr>
          <w:rFonts w:asciiTheme="minorHAnsi" w:hAnsiTheme="minorHAnsi" w:cs="Arial"/>
          <w:bCs/>
          <w:sz w:val="22"/>
          <w:szCs w:val="22"/>
        </w:rPr>
        <w:t>, tym bardziej efektywna jest działalność podmiotu. W</w:t>
      </w:r>
      <w:r w:rsidR="00957888">
        <w:rPr>
          <w:rFonts w:asciiTheme="minorHAnsi" w:hAnsiTheme="minorHAnsi" w:cs="Arial"/>
          <w:bCs/>
          <w:sz w:val="22"/>
          <w:szCs w:val="22"/>
        </w:rPr>
        <w:t xml:space="preserve"> przypadku centrum</w:t>
      </w:r>
      <w:r>
        <w:rPr>
          <w:rFonts w:asciiTheme="minorHAnsi" w:hAnsiTheme="minorHAnsi" w:cs="Arial"/>
          <w:bCs/>
          <w:sz w:val="22"/>
          <w:szCs w:val="22"/>
        </w:rPr>
        <w:t xml:space="preserve">, jako </w:t>
      </w:r>
      <w:proofErr w:type="spellStart"/>
      <w:r>
        <w:rPr>
          <w:rFonts w:asciiTheme="minorHAnsi" w:hAnsiTheme="minorHAnsi" w:cs="Arial"/>
          <w:bCs/>
          <w:sz w:val="22"/>
          <w:szCs w:val="22"/>
        </w:rPr>
        <w:t>zoz-u</w:t>
      </w:r>
      <w:proofErr w:type="spellEnd"/>
      <w:r>
        <w:rPr>
          <w:rFonts w:asciiTheme="minorHAnsi" w:hAnsiTheme="minorHAnsi" w:cs="Arial"/>
          <w:bCs/>
          <w:sz w:val="22"/>
          <w:szCs w:val="22"/>
        </w:rPr>
        <w:t xml:space="preserve">,  którego celem nie jest maksymalizacja zysku, istotniejszym jest fakt  bilansowania się prowadzonej działalności. </w:t>
      </w:r>
    </w:p>
    <w:tbl>
      <w:tblPr>
        <w:tblW w:w="9371" w:type="dxa"/>
        <w:tblInd w:w="55" w:type="dxa"/>
        <w:tblLayout w:type="fixed"/>
        <w:tblCellMar>
          <w:left w:w="70" w:type="dxa"/>
          <w:right w:w="70" w:type="dxa"/>
        </w:tblCellMar>
        <w:tblLook w:val="04A0" w:firstRow="1" w:lastRow="0" w:firstColumn="1" w:lastColumn="0" w:noHBand="0" w:noVBand="1"/>
      </w:tblPr>
      <w:tblGrid>
        <w:gridCol w:w="2142"/>
        <w:gridCol w:w="2976"/>
        <w:gridCol w:w="1560"/>
        <w:gridCol w:w="1559"/>
        <w:gridCol w:w="1134"/>
      </w:tblGrid>
      <w:tr w:rsidR="00ED566A" w:rsidRPr="00CB2E0F" w:rsidTr="00957888">
        <w:trPr>
          <w:trHeight w:val="735"/>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PŁYNNOŚCI</w:t>
            </w:r>
            <w:r>
              <w:rPr>
                <w:rFonts w:ascii="Garamond" w:eastAsia="Times New Roman" w:hAnsi="Garamond" w:cs="Arial"/>
                <w:b/>
                <w:bCs/>
                <w:sz w:val="20"/>
                <w:szCs w:val="20"/>
              </w:rPr>
              <w:t xml:space="preserve"> FINANSOWEJ</w:t>
            </w:r>
          </w:p>
        </w:tc>
        <w:tc>
          <w:tcPr>
            <w:tcW w:w="2976"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bieżącej płynności                                           </w:t>
            </w:r>
          </w:p>
        </w:tc>
        <w:tc>
          <w:tcPr>
            <w:tcW w:w="1560"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1,415706237</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8</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12</w:t>
            </w:r>
          </w:p>
        </w:tc>
      </w:tr>
      <w:tr w:rsidR="00ED566A" w:rsidRPr="00CB2E0F" w:rsidTr="00957888">
        <w:trPr>
          <w:trHeight w:val="72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976"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szybkiej płynności</w:t>
            </w:r>
          </w:p>
        </w:tc>
        <w:tc>
          <w:tcPr>
            <w:tcW w:w="1560"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1,415706237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13</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13</w:t>
            </w:r>
          </w:p>
        </w:tc>
      </w:tr>
      <w:tr w:rsidR="00ED566A" w:rsidRPr="00CB2E0F" w:rsidTr="00957888">
        <w:trPr>
          <w:trHeight w:val="360"/>
        </w:trPr>
        <w:tc>
          <w:tcPr>
            <w:tcW w:w="5118" w:type="dxa"/>
            <w:gridSpan w:val="2"/>
            <w:tcBorders>
              <w:top w:val="single" w:sz="8" w:space="0" w:color="auto"/>
              <w:left w:val="nil"/>
              <w:bottom w:val="nil"/>
              <w:right w:val="nil"/>
            </w:tcBorders>
            <w:shd w:val="clear" w:color="000000" w:fill="FFFFFF"/>
            <w:noWrap/>
            <w:vAlign w:val="center"/>
            <w:hideMark/>
          </w:tcPr>
          <w:p w:rsidR="00ED566A"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p w:rsidR="00ED566A" w:rsidRPr="00CB2E0F" w:rsidRDefault="00ED566A" w:rsidP="00D27521">
            <w:pPr>
              <w:spacing w:after="0" w:line="240" w:lineRule="auto"/>
              <w:rPr>
                <w:rFonts w:ascii="Garamond" w:eastAsia="Times New Roman" w:hAnsi="Garamond" w:cs="Arial"/>
                <w:b/>
                <w:bCs/>
                <w:sz w:val="20"/>
                <w:szCs w:val="20"/>
              </w:rPr>
            </w:pPr>
          </w:p>
        </w:tc>
        <w:tc>
          <w:tcPr>
            <w:tcW w:w="1560"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w:t>
            </w:r>
          </w:p>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płynności:</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21</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25</w:t>
            </w:r>
          </w:p>
        </w:tc>
      </w:tr>
      <w:tr w:rsidR="00ED566A" w:rsidRPr="00CB2E0F" w:rsidTr="00957888">
        <w:trPr>
          <w:trHeight w:val="120"/>
        </w:trPr>
        <w:tc>
          <w:tcPr>
            <w:tcW w:w="2142" w:type="dxa"/>
            <w:tcBorders>
              <w:top w:val="nil"/>
              <w:left w:val="nil"/>
              <w:bottom w:val="nil"/>
              <w:right w:val="nil"/>
            </w:tcBorders>
            <w:shd w:val="clear" w:color="auto" w:fill="auto"/>
            <w:noWrap/>
            <w:vAlign w:val="center"/>
            <w:hideMark/>
          </w:tcPr>
          <w:p w:rsidR="00ED566A" w:rsidRPr="00CB2E0F" w:rsidRDefault="00ED566A" w:rsidP="00D27521">
            <w:pPr>
              <w:spacing w:after="0" w:line="240" w:lineRule="auto"/>
              <w:rPr>
                <w:rFonts w:ascii="Garamond" w:eastAsia="Times New Roman" w:hAnsi="Garamond" w:cs="Arial"/>
                <w:sz w:val="20"/>
                <w:szCs w:val="20"/>
              </w:rPr>
            </w:pPr>
          </w:p>
        </w:tc>
        <w:tc>
          <w:tcPr>
            <w:tcW w:w="2976" w:type="dxa"/>
            <w:tcBorders>
              <w:top w:val="nil"/>
              <w:left w:val="nil"/>
              <w:bottom w:val="nil"/>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rPr>
            </w:pPr>
          </w:p>
        </w:tc>
        <w:tc>
          <w:tcPr>
            <w:tcW w:w="1560" w:type="dxa"/>
            <w:tcBorders>
              <w:top w:val="single" w:sz="4" w:space="0" w:color="auto"/>
              <w:left w:val="nil"/>
              <w:bottom w:val="nil"/>
              <w:right w:val="nil"/>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p>
        </w:tc>
        <w:tc>
          <w:tcPr>
            <w:tcW w:w="2693" w:type="dxa"/>
            <w:gridSpan w:val="2"/>
            <w:tcBorders>
              <w:top w:val="single" w:sz="4" w:space="0" w:color="auto"/>
              <w:left w:val="nil"/>
              <w:bottom w:val="nil"/>
              <w:right w:val="nil"/>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p>
        </w:tc>
      </w:tr>
    </w:tbl>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w:t>
      </w:r>
      <w:r>
        <w:rPr>
          <w:rFonts w:asciiTheme="minorHAnsi" w:hAnsiTheme="minorHAnsi" w:cs="Arial"/>
          <w:b/>
          <w:color w:val="000000"/>
          <w:sz w:val="22"/>
          <w:szCs w:val="22"/>
        </w:rPr>
        <w:t xml:space="preserve"> wskaźniki płynności finansowej – </w:t>
      </w:r>
      <w:r>
        <w:rPr>
          <w:rFonts w:asciiTheme="minorHAnsi" w:hAnsiTheme="minorHAnsi" w:cs="Arial"/>
          <w:color w:val="000000"/>
          <w:sz w:val="22"/>
          <w:szCs w:val="22"/>
        </w:rPr>
        <w:t>ocena 21 punktów/na max.25 punktów.</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a) wskaźniki bieżącej płynności – określa zdolność podmiotu do spłaty zobowiązań krótkoterminowych poprzez upłynnienie wszystkich środków obrotowych.</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 xml:space="preserve">Optymalna wartość wskaźnika kształtuje się w przedziale powyżej 1,50 do 3,00. Wysoka wartość wskaźnika oznacza nadpłynność, czyli nieefektywne gospodarowanie posiadanymi środkami np. nadmierne zapasy, powstanie należności przeterminowanych. </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957888">
        <w:rPr>
          <w:rFonts w:asciiTheme="minorHAnsi" w:hAnsiTheme="minorHAnsi" w:cs="Arial"/>
          <w:color w:val="000000"/>
          <w:sz w:val="22"/>
          <w:szCs w:val="22"/>
        </w:rPr>
        <w:lastRenderedPageBreak/>
        <w:t xml:space="preserve">Wskaźnik Centrum Rehabilitacji wynosi </w:t>
      </w:r>
      <w:r w:rsidRPr="00957888">
        <w:rPr>
          <w:rFonts w:asciiTheme="minorHAnsi" w:hAnsiTheme="minorHAnsi" w:cs="Arial"/>
          <w:sz w:val="22"/>
          <w:szCs w:val="22"/>
        </w:rPr>
        <w:t>1,415706237, zbliżony jest do dolnej granicy optymalnej wartości wskaźnika, co oznacza że Centrum Rehabilitacji nie ma trudności z bieżącym regulowaniem krótkoterminowych zobowiązań.</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sz w:val="22"/>
          <w:szCs w:val="22"/>
        </w:rPr>
      </w:pPr>
      <w:r w:rsidRPr="00957888">
        <w:rPr>
          <w:rFonts w:asciiTheme="minorHAnsi" w:hAnsiTheme="minorHAnsi" w:cs="Arial"/>
          <w:sz w:val="22"/>
          <w:szCs w:val="22"/>
        </w:rPr>
        <w:t xml:space="preserve">b) </w:t>
      </w:r>
      <w:r w:rsidRPr="00957888">
        <w:rPr>
          <w:rFonts w:asciiTheme="minorHAnsi" w:hAnsiTheme="minorHAnsi" w:cs="Arial"/>
          <w:color w:val="000000"/>
          <w:sz w:val="22"/>
          <w:szCs w:val="22"/>
        </w:rPr>
        <w:t xml:space="preserve">wskaźniki szybkiej płynności - określa zdolność podmiotu do spłaty zobowiązań krótkoterminowych najbardziej płynnymi aktywami, tj. krótkoterminowymi należnościami i aktywami finansowymi.  Wartość bezpieczna dla wskaźnika szybkiej płynności winna kształtować się w przedziale 1,0 – 1,2. Wskaźnik Centrum Rehabilitacji wynosi </w:t>
      </w:r>
      <w:r w:rsidRPr="00957888">
        <w:rPr>
          <w:rFonts w:asciiTheme="minorHAnsi" w:hAnsiTheme="minorHAnsi" w:cs="Arial"/>
          <w:sz w:val="22"/>
          <w:szCs w:val="22"/>
        </w:rPr>
        <w:t>1,415706237, co oznacza że Centrum Rehabilitacji ma natychmiastową zdolność do spłaty zobowiązań.</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Ponadto wskaźniki płynności finansowej – bieżącej i szybkiej osiągają tę samą wysokości co oznacza, iż podmiot leczniczy nie tworzy zapasów, przez co nie zamraża środków finansowych i na bieżąco reguluje zobowiązania krótkoterminowe.</w:t>
      </w:r>
    </w:p>
    <w:tbl>
      <w:tblPr>
        <w:tblW w:w="9229" w:type="dxa"/>
        <w:tblInd w:w="55" w:type="dxa"/>
        <w:tblLayout w:type="fixed"/>
        <w:tblCellMar>
          <w:left w:w="70" w:type="dxa"/>
          <w:right w:w="70" w:type="dxa"/>
        </w:tblCellMar>
        <w:tblLook w:val="04A0" w:firstRow="1" w:lastRow="0" w:firstColumn="1" w:lastColumn="0" w:noHBand="0" w:noVBand="1"/>
      </w:tblPr>
      <w:tblGrid>
        <w:gridCol w:w="2142"/>
        <w:gridCol w:w="2693"/>
        <w:gridCol w:w="1701"/>
        <w:gridCol w:w="1559"/>
        <w:gridCol w:w="1134"/>
      </w:tblGrid>
      <w:tr w:rsidR="00ED566A" w:rsidRPr="00CB2E0F" w:rsidTr="00957888">
        <w:trPr>
          <w:trHeight w:val="645"/>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t>WSKAŹNIKI EFEKTYWNOŚCI</w:t>
            </w:r>
          </w:p>
        </w:tc>
        <w:tc>
          <w:tcPr>
            <w:tcW w:w="2693"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rotacji należności                                     (w dniach)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37,45200581</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3</w:t>
            </w:r>
          </w:p>
        </w:tc>
      </w:tr>
      <w:tr w:rsidR="00ED566A" w:rsidRPr="00CB2E0F" w:rsidTr="00957888">
        <w:trPr>
          <w:trHeight w:val="66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rotacji zobowiązań                                          (w dniach)</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9,906805567</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7</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7</w:t>
            </w:r>
          </w:p>
        </w:tc>
      </w:tr>
      <w:tr w:rsidR="00ED566A" w:rsidRPr="00CB2E0F" w:rsidTr="00957888">
        <w:trPr>
          <w:trHeight w:val="390"/>
        </w:trPr>
        <w:tc>
          <w:tcPr>
            <w:tcW w:w="4835" w:type="dxa"/>
            <w:gridSpan w:val="2"/>
            <w:tcBorders>
              <w:top w:val="single" w:sz="8" w:space="0" w:color="auto"/>
              <w:left w:val="nil"/>
              <w:bottom w:val="nil"/>
              <w:right w:val="nil"/>
            </w:tcBorders>
            <w:shd w:val="clear" w:color="000000" w:fill="FFFFFF"/>
            <w:noWrap/>
            <w:vAlign w:val="center"/>
            <w:hideMark/>
          </w:tcPr>
          <w:p w:rsidR="00ED566A" w:rsidRPr="00CB2E0F"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efektywności:</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10</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10</w:t>
            </w:r>
          </w:p>
        </w:tc>
      </w:tr>
    </w:tbl>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b/>
          <w:color w:val="000000"/>
          <w:sz w:val="22"/>
          <w:szCs w:val="22"/>
        </w:rPr>
        <w:t xml:space="preserve">- wskaźniki efektywności - </w:t>
      </w:r>
      <w:r>
        <w:rPr>
          <w:rFonts w:asciiTheme="minorHAnsi" w:hAnsiTheme="minorHAnsi" w:cs="Arial"/>
          <w:color w:val="000000"/>
          <w:sz w:val="22"/>
          <w:szCs w:val="22"/>
        </w:rPr>
        <w:t>ocena 10 punktów/na max.10 punktów</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a) wskaźnik rotacji należności – określa w ciągu ilu dni następuje spływ należności za świadczone usługi.  Im wyższy poziom wskaźnika, tym podmiot ma  większe trudności ze ściągalnością swoich należności, co może obniżyć zdolność do terminowego regulowania zobowiązań. Wskaźnik rotacji należności  Centrum Rehabilitacji wynosi 37 dni. Biorąc pod uwagę, iż głównym płatnikiem jest NFZ, a termin płatności faktur wynosi 14 dni po  dostarczeniu faktury do NFZ,  </w:t>
      </w:r>
      <w:r w:rsidR="001D361C">
        <w:rPr>
          <w:rFonts w:asciiTheme="minorHAnsi" w:hAnsiTheme="minorHAnsi" w:cs="Arial"/>
          <w:color w:val="000000"/>
          <w:sz w:val="22"/>
          <w:szCs w:val="22"/>
        </w:rPr>
        <w:t>organ tworzący jest zdania, iż:</w:t>
      </w:r>
    </w:p>
    <w:p w:rsidR="001D361C" w:rsidRDefault="001D361C" w:rsidP="001D361C">
      <w:pPr>
        <w:pStyle w:val="NormalnyWeb"/>
        <w:numPr>
          <w:ilvl w:val="0"/>
          <w:numId w:val="3"/>
        </w:numPr>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Centrum Rehabilitacji na bieżąco winno monitorować terminowość wpłat należności</w:t>
      </w:r>
    </w:p>
    <w:p w:rsidR="001D361C" w:rsidRDefault="005433EC" w:rsidP="001D361C">
      <w:pPr>
        <w:pStyle w:val="NormalnyWeb"/>
        <w:numPr>
          <w:ilvl w:val="0"/>
          <w:numId w:val="3"/>
        </w:numPr>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w</w:t>
      </w:r>
      <w:r w:rsidR="001D361C">
        <w:rPr>
          <w:rFonts w:asciiTheme="minorHAnsi" w:hAnsiTheme="minorHAnsi" w:cs="Arial"/>
          <w:color w:val="000000"/>
          <w:sz w:val="22"/>
          <w:szCs w:val="22"/>
        </w:rPr>
        <w:t xml:space="preserve"> przypadku opóźnień w ich regulowaniu Dyrekcja Centrum winna natychmiast reagować i podejmować czynności windykacyjne</w:t>
      </w:r>
    </w:p>
    <w:p w:rsidR="00ED566A"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b) wskaźnik rotacji zobowiązań </w:t>
      </w:r>
      <w:bookmarkStart w:id="0" w:name="_GoBack"/>
      <w:bookmarkEnd w:id="0"/>
      <w:r>
        <w:rPr>
          <w:rFonts w:asciiTheme="minorHAnsi" w:hAnsiTheme="minorHAnsi" w:cs="Arial"/>
          <w:color w:val="000000"/>
          <w:sz w:val="22"/>
          <w:szCs w:val="22"/>
        </w:rPr>
        <w:t>- określa okres, jaki jest potrzebny podmiotowi do spłacenia swoich zobowiązań krótkoterminowych. W roku 2016 wskaźnik rotacji zobowiązań</w:t>
      </w:r>
      <w:r w:rsidR="001D361C">
        <w:rPr>
          <w:rFonts w:asciiTheme="minorHAnsi" w:hAnsiTheme="minorHAnsi" w:cs="Arial"/>
          <w:color w:val="000000"/>
          <w:sz w:val="22"/>
          <w:szCs w:val="22"/>
        </w:rPr>
        <w:t xml:space="preserve"> Centrum Rehabilitacji</w:t>
      </w:r>
      <w:r>
        <w:rPr>
          <w:rFonts w:asciiTheme="minorHAnsi" w:hAnsiTheme="minorHAnsi" w:cs="Arial"/>
          <w:color w:val="000000"/>
          <w:sz w:val="22"/>
          <w:szCs w:val="22"/>
        </w:rPr>
        <w:t xml:space="preserve"> wynosi 10 dni</w:t>
      </w:r>
      <w:r w:rsidR="000A2F1D">
        <w:rPr>
          <w:rFonts w:asciiTheme="minorHAnsi" w:hAnsiTheme="minorHAnsi" w:cs="Arial"/>
          <w:color w:val="000000"/>
          <w:sz w:val="22"/>
          <w:szCs w:val="22"/>
        </w:rPr>
        <w:t xml:space="preserve">, co </w:t>
      </w:r>
      <w:r w:rsidR="001D361C">
        <w:rPr>
          <w:rFonts w:asciiTheme="minorHAnsi" w:hAnsiTheme="minorHAnsi" w:cs="Arial"/>
          <w:color w:val="000000"/>
          <w:sz w:val="22"/>
          <w:szCs w:val="22"/>
        </w:rPr>
        <w:t>może świadczyć o nieracjonalnym zarządzaniu zobowiązaniami, polegające na nie korzystaniu przez Zakład Opieki Zdrowotnej z nieoprocentowanego tzw. kredytu kupieckiego. Przy zawieraniu umów i regulowaniu zobowiązań należy rozpatrzyć możliwość stosowania unormowań przewidzianych w ustawie z 8 marca 2013 r. o terminach zapłaty w transakcjach handlowych. Ustawa określa, że terminy zapłaty w transakcjach handlowych nie powinny przekraczać 60 dni kalendarzowych, natomiast między przedsiębiorcami a podmiotami publicznymi - 30 dni.</w:t>
      </w:r>
    </w:p>
    <w:p w:rsidR="00957888" w:rsidRDefault="00957888" w:rsidP="00957888">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p>
    <w:tbl>
      <w:tblPr>
        <w:tblW w:w="9229" w:type="dxa"/>
        <w:tblInd w:w="55" w:type="dxa"/>
        <w:tblLayout w:type="fixed"/>
        <w:tblCellMar>
          <w:left w:w="70" w:type="dxa"/>
          <w:right w:w="70" w:type="dxa"/>
        </w:tblCellMar>
        <w:tblLook w:val="04A0" w:firstRow="1" w:lastRow="0" w:firstColumn="1" w:lastColumn="0" w:noHBand="0" w:noVBand="1"/>
      </w:tblPr>
      <w:tblGrid>
        <w:gridCol w:w="2142"/>
        <w:gridCol w:w="2693"/>
        <w:gridCol w:w="1701"/>
        <w:gridCol w:w="1559"/>
        <w:gridCol w:w="1134"/>
      </w:tblGrid>
      <w:tr w:rsidR="00ED566A" w:rsidRPr="00CB2E0F" w:rsidTr="00957888">
        <w:trPr>
          <w:trHeight w:val="600"/>
        </w:trPr>
        <w:tc>
          <w:tcPr>
            <w:tcW w:w="2142" w:type="dxa"/>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sz w:val="20"/>
                <w:szCs w:val="20"/>
              </w:rPr>
            </w:pPr>
            <w:r w:rsidRPr="00CB2E0F">
              <w:rPr>
                <w:rFonts w:ascii="Garamond" w:eastAsia="Times New Roman" w:hAnsi="Garamond" w:cs="Arial"/>
                <w:b/>
                <w:bCs/>
                <w:sz w:val="20"/>
                <w:szCs w:val="20"/>
              </w:rPr>
              <w:lastRenderedPageBreak/>
              <w:t>WSKAŹNIKI ZADŁUŻENIA</w:t>
            </w:r>
          </w:p>
        </w:tc>
        <w:tc>
          <w:tcPr>
            <w:tcW w:w="2693" w:type="dxa"/>
            <w:tcBorders>
              <w:top w:val="single" w:sz="8" w:space="0" w:color="auto"/>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 xml:space="preserve">Wskaźnik zadłużenia aktywów (%)                          </w:t>
            </w:r>
          </w:p>
        </w:tc>
        <w:tc>
          <w:tcPr>
            <w:tcW w:w="1701" w:type="dxa"/>
            <w:tcBorders>
              <w:top w:val="single" w:sz="8" w:space="0" w:color="auto"/>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19,4290449</w:t>
            </w:r>
          </w:p>
        </w:tc>
        <w:tc>
          <w:tcPr>
            <w:tcW w:w="1559" w:type="dxa"/>
            <w:tcBorders>
              <w:top w:val="single" w:sz="8" w:space="0" w:color="auto"/>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c>
          <w:tcPr>
            <w:tcW w:w="1134" w:type="dxa"/>
            <w:tcBorders>
              <w:top w:val="single" w:sz="8" w:space="0" w:color="auto"/>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r>
      <w:tr w:rsidR="00ED566A" w:rsidRPr="00CB2E0F" w:rsidTr="005B18F9">
        <w:trPr>
          <w:trHeight w:val="330"/>
        </w:trPr>
        <w:tc>
          <w:tcPr>
            <w:tcW w:w="2142" w:type="dxa"/>
            <w:vMerge/>
            <w:tcBorders>
              <w:top w:val="single" w:sz="8" w:space="0" w:color="auto"/>
              <w:left w:val="single" w:sz="8" w:space="0" w:color="auto"/>
              <w:bottom w:val="single" w:sz="8" w:space="0" w:color="000000"/>
              <w:right w:val="single" w:sz="8"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sz w:val="20"/>
                <w:szCs w:val="20"/>
              </w:rPr>
            </w:pPr>
          </w:p>
        </w:tc>
        <w:tc>
          <w:tcPr>
            <w:tcW w:w="2693" w:type="dxa"/>
            <w:tcBorders>
              <w:top w:val="nil"/>
              <w:left w:val="nil"/>
              <w:bottom w:val="single" w:sz="4" w:space="0" w:color="auto"/>
              <w:right w:val="nil"/>
            </w:tcBorders>
            <w:shd w:val="clear" w:color="auto" w:fill="auto"/>
            <w:vAlign w:val="center"/>
            <w:hideMark/>
          </w:tcPr>
          <w:p w:rsidR="00ED566A" w:rsidRPr="00CB2E0F" w:rsidRDefault="00ED566A" w:rsidP="00D27521">
            <w:pPr>
              <w:spacing w:after="0" w:line="240" w:lineRule="auto"/>
              <w:rPr>
                <w:rFonts w:ascii="Garamond" w:eastAsia="Times New Roman" w:hAnsi="Garamond" w:cs="Arial"/>
              </w:rPr>
            </w:pPr>
            <w:r w:rsidRPr="00CB2E0F">
              <w:rPr>
                <w:rFonts w:ascii="Garamond" w:eastAsia="Times New Roman" w:hAnsi="Garamond" w:cs="Arial"/>
              </w:rPr>
              <w:t>Wskaźnik wypłacalności</w:t>
            </w:r>
          </w:p>
        </w:tc>
        <w:tc>
          <w:tcPr>
            <w:tcW w:w="1701" w:type="dxa"/>
            <w:tcBorders>
              <w:top w:val="nil"/>
              <w:left w:val="single" w:sz="8" w:space="0" w:color="auto"/>
              <w:bottom w:val="single" w:sz="4"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0,56520828</w:t>
            </w:r>
          </w:p>
        </w:tc>
        <w:tc>
          <w:tcPr>
            <w:tcW w:w="1559" w:type="dxa"/>
            <w:tcBorders>
              <w:top w:val="nil"/>
              <w:left w:val="nil"/>
              <w:bottom w:val="single" w:sz="4" w:space="0" w:color="auto"/>
              <w:right w:val="single" w:sz="4" w:space="0" w:color="auto"/>
            </w:tcBorders>
            <w:shd w:val="clear" w:color="000000" w:fill="FFFFFF"/>
            <w:vAlign w:val="center"/>
            <w:hideMark/>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8</w:t>
            </w:r>
          </w:p>
        </w:tc>
        <w:tc>
          <w:tcPr>
            <w:tcW w:w="1134" w:type="dxa"/>
            <w:tcBorders>
              <w:top w:val="nil"/>
              <w:left w:val="single" w:sz="4" w:space="0" w:color="auto"/>
              <w:bottom w:val="single" w:sz="4" w:space="0" w:color="auto"/>
              <w:right w:val="single" w:sz="8" w:space="0" w:color="auto"/>
            </w:tcBorders>
            <w:shd w:val="clear" w:color="000000" w:fill="FFFFFF"/>
            <w:vAlign w:val="center"/>
          </w:tcPr>
          <w:p w:rsidR="00ED566A" w:rsidRPr="00CB2E0F" w:rsidRDefault="00ED566A" w:rsidP="00D27521">
            <w:pPr>
              <w:spacing w:after="0" w:line="240" w:lineRule="auto"/>
              <w:jc w:val="center"/>
              <w:rPr>
                <w:rFonts w:ascii="Garamond" w:eastAsia="Times New Roman" w:hAnsi="Garamond" w:cs="Arial"/>
              </w:rPr>
            </w:pPr>
            <w:r>
              <w:rPr>
                <w:rFonts w:ascii="Garamond" w:eastAsia="Times New Roman" w:hAnsi="Garamond" w:cs="Arial"/>
              </w:rPr>
              <w:t>10</w:t>
            </w:r>
          </w:p>
        </w:tc>
      </w:tr>
      <w:tr w:rsidR="00ED566A" w:rsidRPr="00CB2E0F" w:rsidTr="00957888">
        <w:trPr>
          <w:trHeight w:val="540"/>
        </w:trPr>
        <w:tc>
          <w:tcPr>
            <w:tcW w:w="4835" w:type="dxa"/>
            <w:gridSpan w:val="2"/>
            <w:tcBorders>
              <w:top w:val="single" w:sz="8" w:space="0" w:color="auto"/>
              <w:left w:val="nil"/>
              <w:bottom w:val="nil"/>
              <w:right w:val="nil"/>
            </w:tcBorders>
            <w:shd w:val="clear" w:color="000000" w:fill="FFFFFF"/>
            <w:noWrap/>
            <w:vAlign w:val="center"/>
            <w:hideMark/>
          </w:tcPr>
          <w:p w:rsidR="00ED566A" w:rsidRPr="00CB2E0F" w:rsidRDefault="00ED566A" w:rsidP="00D27521">
            <w:pPr>
              <w:spacing w:after="0" w:line="240" w:lineRule="auto"/>
              <w:rPr>
                <w:rFonts w:ascii="Garamond" w:eastAsia="Times New Roman" w:hAnsi="Garamond" w:cs="Arial"/>
                <w:b/>
                <w:bCs/>
                <w:sz w:val="20"/>
                <w:szCs w:val="20"/>
              </w:rPr>
            </w:pPr>
            <w:r w:rsidRPr="00CB2E0F">
              <w:rPr>
                <w:rFonts w:ascii="Garamond" w:eastAsia="Times New Roman" w:hAnsi="Garamond" w:cs="Arial"/>
                <w:b/>
                <w:bCs/>
                <w:sz w:val="20"/>
                <w:szCs w:val="20"/>
              </w:rPr>
              <w:t> </w:t>
            </w:r>
          </w:p>
        </w:tc>
        <w:tc>
          <w:tcPr>
            <w:tcW w:w="1701" w:type="dxa"/>
            <w:tcBorders>
              <w:top w:val="single" w:sz="8" w:space="0" w:color="auto"/>
              <w:left w:val="single" w:sz="8"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rPr>
                <w:rFonts w:ascii="Garamond" w:eastAsia="Times New Roman" w:hAnsi="Garamond" w:cs="Arial"/>
                <w:b/>
                <w:bCs/>
                <w:color w:val="000000"/>
                <w:sz w:val="20"/>
                <w:szCs w:val="20"/>
              </w:rPr>
            </w:pPr>
            <w:r>
              <w:rPr>
                <w:rFonts w:ascii="Garamond" w:eastAsia="Times New Roman" w:hAnsi="Garamond" w:cs="Arial"/>
                <w:b/>
                <w:bCs/>
                <w:color w:val="000000"/>
                <w:sz w:val="20"/>
                <w:szCs w:val="20"/>
              </w:rPr>
              <w:t>Razem wskaźniki zadłużenia:</w:t>
            </w:r>
          </w:p>
        </w:tc>
        <w:tc>
          <w:tcPr>
            <w:tcW w:w="1559" w:type="dxa"/>
            <w:tcBorders>
              <w:top w:val="single" w:sz="8" w:space="0" w:color="auto"/>
              <w:left w:val="single" w:sz="4" w:space="0" w:color="auto"/>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18</w:t>
            </w:r>
          </w:p>
        </w:tc>
        <w:tc>
          <w:tcPr>
            <w:tcW w:w="1134" w:type="dxa"/>
            <w:tcBorders>
              <w:top w:val="single" w:sz="8" w:space="0" w:color="auto"/>
              <w:left w:val="single" w:sz="4" w:space="0" w:color="auto"/>
              <w:bottom w:val="single" w:sz="8" w:space="0" w:color="auto"/>
              <w:right w:val="single" w:sz="8"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20</w:t>
            </w:r>
          </w:p>
        </w:tc>
      </w:tr>
    </w:tbl>
    <w:p w:rsidR="00ED566A" w:rsidRDefault="00ED566A" w:rsidP="00ED566A">
      <w:pPr>
        <w:pStyle w:val="NormalnyWeb"/>
        <w:shd w:val="clear" w:color="auto" w:fill="FFFFFF"/>
        <w:spacing w:before="0" w:beforeAutospacing="0" w:after="225" w:afterAutospacing="0" w:line="360" w:lineRule="auto"/>
        <w:ind w:firstLine="708"/>
        <w:contextualSpacing/>
        <w:jc w:val="both"/>
        <w:rPr>
          <w:rFonts w:asciiTheme="minorHAnsi" w:hAnsiTheme="minorHAnsi" w:cs="Arial"/>
          <w:color w:val="000000"/>
          <w:sz w:val="22"/>
          <w:szCs w:val="22"/>
        </w:rPr>
      </w:pPr>
      <w:r>
        <w:rPr>
          <w:rFonts w:asciiTheme="minorHAnsi" w:hAnsiTheme="minorHAnsi" w:cs="Arial"/>
          <w:color w:val="000000"/>
          <w:sz w:val="22"/>
          <w:szCs w:val="22"/>
        </w:rPr>
        <w:t xml:space="preserve"> </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b/>
          <w:color w:val="000000"/>
          <w:sz w:val="22"/>
          <w:szCs w:val="22"/>
        </w:rPr>
        <w:t xml:space="preserve">- wskaźniki zadłużenia - </w:t>
      </w:r>
      <w:r w:rsidRPr="00957888">
        <w:rPr>
          <w:rFonts w:asciiTheme="minorHAnsi" w:hAnsiTheme="minorHAnsi" w:cs="Arial"/>
          <w:color w:val="000000"/>
          <w:sz w:val="22"/>
          <w:szCs w:val="22"/>
        </w:rPr>
        <w:t>ocena 18 punktów/na max.20 punktów.</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a) wskaźnik zadłużenia aktywów (%) - informuje o stopniu finansowania aktywów kapitałami obcymi.  W roku 2016 wskaźnik ten dla Centrum Rehabilitacji wynosi ok. 20%, co świadczy o samodzielności finansowej podmiotu. Przyjmuje się, że w przypadku osiągnięcia wartości wskaźnika powyżej 67% to wskazuje na nadmierne ryzyko kredytowe.</w:t>
      </w:r>
    </w:p>
    <w:p w:rsidR="00ED566A" w:rsidRPr="00957888" w:rsidRDefault="00ED566A" w:rsidP="00ED566A">
      <w:pPr>
        <w:pStyle w:val="NormalnyWeb"/>
        <w:shd w:val="clear" w:color="auto" w:fill="FFFFFF"/>
        <w:spacing w:before="0" w:beforeAutospacing="0" w:after="225" w:afterAutospacing="0" w:line="360" w:lineRule="auto"/>
        <w:contextualSpacing/>
        <w:jc w:val="both"/>
        <w:rPr>
          <w:rFonts w:asciiTheme="minorHAnsi" w:hAnsiTheme="minorHAnsi" w:cs="Arial"/>
          <w:color w:val="000000"/>
          <w:sz w:val="22"/>
          <w:szCs w:val="22"/>
        </w:rPr>
      </w:pPr>
      <w:r w:rsidRPr="00957888">
        <w:rPr>
          <w:rFonts w:asciiTheme="minorHAnsi" w:hAnsiTheme="minorHAnsi" w:cs="Arial"/>
          <w:color w:val="000000"/>
          <w:sz w:val="22"/>
          <w:szCs w:val="22"/>
        </w:rPr>
        <w:t xml:space="preserve">b) wskaźnik wypłacalności – określa wielkość funduszy obcych przypadających na jednostkę funduszu własnego.  Wartość wskaźnika powyżej 4% wskazuje na możliwość utraty zdolności do regulowania zobowiązań. W roku 2016 wskaźnik ten dla Centrum Rehabilitacji wynosi </w:t>
      </w:r>
      <w:r w:rsidRPr="00957888">
        <w:rPr>
          <w:rFonts w:asciiTheme="minorHAnsi" w:hAnsiTheme="minorHAnsi" w:cs="Arial"/>
          <w:sz w:val="22"/>
          <w:szCs w:val="22"/>
        </w:rPr>
        <w:t>0,56520828 co oznacza, że Centrum Rehabilitacji posiada zdolność do regulowania zobowiązań.</w:t>
      </w:r>
    </w:p>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sz w:val="22"/>
          <w:szCs w:val="22"/>
          <w:u w:val="single"/>
        </w:rPr>
      </w:pPr>
      <w:r>
        <w:rPr>
          <w:rFonts w:asciiTheme="minorHAnsi" w:hAnsiTheme="minorHAnsi" w:cs="Arial"/>
          <w:b/>
          <w:color w:val="000000"/>
          <w:sz w:val="22"/>
          <w:szCs w:val="22"/>
          <w:u w:val="single"/>
        </w:rPr>
        <w:t>Podsumowanie</w:t>
      </w:r>
    </w:p>
    <w:tbl>
      <w:tblPr>
        <w:tblW w:w="9229" w:type="dxa"/>
        <w:tblInd w:w="55" w:type="dxa"/>
        <w:tblLayout w:type="fixed"/>
        <w:tblCellMar>
          <w:left w:w="70" w:type="dxa"/>
          <w:right w:w="70" w:type="dxa"/>
        </w:tblCellMar>
        <w:tblLook w:val="04A0" w:firstRow="1" w:lastRow="0" w:firstColumn="1" w:lastColumn="0" w:noHBand="0" w:noVBand="1"/>
      </w:tblPr>
      <w:tblGrid>
        <w:gridCol w:w="4410"/>
        <w:gridCol w:w="1984"/>
        <w:gridCol w:w="1559"/>
        <w:gridCol w:w="1276"/>
      </w:tblGrid>
      <w:tr w:rsidR="00ED566A" w:rsidRPr="00CB2E0F" w:rsidTr="00957888">
        <w:trPr>
          <w:trHeight w:val="420"/>
        </w:trPr>
        <w:tc>
          <w:tcPr>
            <w:tcW w:w="4410" w:type="dxa"/>
            <w:tcBorders>
              <w:top w:val="single" w:sz="8" w:space="0" w:color="auto"/>
              <w:left w:val="single" w:sz="8" w:space="0" w:color="auto"/>
              <w:bottom w:val="single" w:sz="8" w:space="0" w:color="auto"/>
              <w:right w:val="single" w:sz="8" w:space="0" w:color="000000"/>
            </w:tcBorders>
            <w:shd w:val="clear" w:color="auto" w:fill="auto"/>
            <w:noWrap/>
            <w:vAlign w:val="center"/>
            <w:hideMark/>
          </w:tcPr>
          <w:p w:rsidR="00ED566A" w:rsidRPr="00CB2E0F" w:rsidRDefault="00ED566A" w:rsidP="00D27521">
            <w:pPr>
              <w:spacing w:after="0" w:line="240" w:lineRule="auto"/>
              <w:jc w:val="center"/>
              <w:rPr>
                <w:rFonts w:ascii="Garamond" w:eastAsia="Times New Roman" w:hAnsi="Garamond" w:cs="Arial"/>
                <w:b/>
                <w:bCs/>
              </w:rPr>
            </w:pPr>
            <w:r w:rsidRPr="00CB2E0F">
              <w:rPr>
                <w:rFonts w:ascii="Garamond" w:eastAsia="Times New Roman" w:hAnsi="Garamond" w:cs="Arial"/>
                <w:b/>
                <w:bCs/>
              </w:rPr>
              <w:t>Łączna wartość punktów</w:t>
            </w:r>
          </w:p>
        </w:tc>
        <w:tc>
          <w:tcPr>
            <w:tcW w:w="1984" w:type="dxa"/>
            <w:tcBorders>
              <w:top w:val="single" w:sz="8" w:space="0" w:color="auto"/>
              <w:left w:val="nil"/>
              <w:bottom w:val="single" w:sz="8" w:space="0" w:color="auto"/>
              <w:right w:val="single" w:sz="4" w:space="0" w:color="auto"/>
            </w:tcBorders>
            <w:shd w:val="clear" w:color="auto" w:fill="auto"/>
            <w:vAlign w:val="center"/>
            <w:hideMark/>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uzyskanych</w:t>
            </w:r>
          </w:p>
        </w:tc>
        <w:tc>
          <w:tcPr>
            <w:tcW w:w="1559" w:type="dxa"/>
            <w:tcBorders>
              <w:top w:val="single" w:sz="8" w:space="0" w:color="auto"/>
              <w:left w:val="nil"/>
              <w:bottom w:val="single" w:sz="8" w:space="0" w:color="auto"/>
              <w:right w:val="single" w:sz="4" w:space="0" w:color="auto"/>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58</w:t>
            </w:r>
          </w:p>
        </w:tc>
        <w:tc>
          <w:tcPr>
            <w:tcW w:w="1276" w:type="dxa"/>
            <w:tcBorders>
              <w:top w:val="single" w:sz="8" w:space="0" w:color="auto"/>
              <w:left w:val="single" w:sz="4" w:space="0" w:color="auto"/>
              <w:bottom w:val="single" w:sz="8" w:space="0" w:color="auto"/>
              <w:right w:val="single" w:sz="8" w:space="0" w:color="000000"/>
            </w:tcBorders>
            <w:shd w:val="clear" w:color="auto" w:fill="auto"/>
            <w:vAlign w:val="center"/>
          </w:tcPr>
          <w:p w:rsidR="00ED566A" w:rsidRPr="00CB2E0F" w:rsidRDefault="00ED566A" w:rsidP="00D27521">
            <w:pPr>
              <w:spacing w:after="0" w:line="240" w:lineRule="auto"/>
              <w:jc w:val="center"/>
              <w:rPr>
                <w:rFonts w:ascii="Garamond" w:eastAsia="Times New Roman" w:hAnsi="Garamond" w:cs="Arial"/>
                <w:b/>
                <w:bCs/>
              </w:rPr>
            </w:pPr>
            <w:r>
              <w:rPr>
                <w:rFonts w:ascii="Garamond" w:eastAsia="Times New Roman" w:hAnsi="Garamond" w:cs="Arial"/>
                <w:b/>
                <w:bCs/>
              </w:rPr>
              <w:t>max. 70</w:t>
            </w:r>
          </w:p>
        </w:tc>
      </w:tr>
    </w:tbl>
    <w:p w:rsidR="00ED566A" w:rsidRDefault="00ED566A" w:rsidP="00ED566A">
      <w:pPr>
        <w:spacing w:line="360" w:lineRule="auto"/>
        <w:ind w:firstLine="708"/>
        <w:jc w:val="both"/>
      </w:pPr>
    </w:p>
    <w:p w:rsidR="00ED566A" w:rsidRDefault="00ED566A" w:rsidP="00ED566A">
      <w:pPr>
        <w:spacing w:line="360" w:lineRule="auto"/>
        <w:ind w:firstLine="708"/>
        <w:jc w:val="both"/>
        <w:rPr>
          <w:b/>
        </w:rPr>
      </w:pPr>
      <w:r>
        <w:t xml:space="preserve">Maksymalna  ocena punktowa wskaźników ekonomiczno – finansowych wynikająca z rozporządzenia Ministra Zdrowia z dnia 12 kwietnia 2017r. w sprawie wskaźników ekonomiczno – finansowych niezbędnych do sporządzenia analizy oraz prognozy sytuacji ekonomiczno – finansowej samodzielnych publicznych zakładów opieki zdrowotnej SPSZOZ wynosi 70. Łączna ocena punktowa za rok 2016 uzyskana przez </w:t>
      </w:r>
      <w:r w:rsidRPr="00313E14">
        <w:t>SP ZOZ CENTRUM REHABILITACJI w Elblągu, ul. Królewiecka 15</w:t>
      </w:r>
      <w:r>
        <w:t xml:space="preserve"> wynosi 58, </w:t>
      </w:r>
      <w:r w:rsidRPr="004F0947">
        <w:rPr>
          <w:b/>
        </w:rPr>
        <w:t>co stanowi 82,86% maksymalnej liczby punktów możliwej do uzyskania.</w:t>
      </w:r>
    </w:p>
    <w:p w:rsidR="00ED566A" w:rsidRDefault="00ED566A" w:rsidP="00ED566A">
      <w:pPr>
        <w:spacing w:line="360" w:lineRule="auto"/>
        <w:ind w:firstLine="708"/>
        <w:jc w:val="both"/>
      </w:pPr>
      <w:r w:rsidRPr="00313E14">
        <w:t>Analiza wskaźników ekonomiczno – finansowych pokazuje, że sytuacja finansowa SP ZOZ CENTRUM REHABILITACJI w Elblągu,</w:t>
      </w:r>
      <w:r>
        <w:t xml:space="preserve"> jest dobra.</w:t>
      </w: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Default="001D361C" w:rsidP="00ED566A">
      <w:pPr>
        <w:spacing w:line="360" w:lineRule="auto"/>
        <w:ind w:firstLine="708"/>
        <w:jc w:val="both"/>
      </w:pPr>
    </w:p>
    <w:p w:rsidR="001D361C" w:rsidRPr="00313E14" w:rsidRDefault="001D361C" w:rsidP="00ED566A">
      <w:pPr>
        <w:spacing w:line="360" w:lineRule="auto"/>
        <w:ind w:firstLine="708"/>
        <w:jc w:val="both"/>
      </w:pPr>
    </w:p>
    <w:p w:rsidR="00ED566A" w:rsidRPr="00BC3B05"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u w:val="single"/>
        </w:rPr>
      </w:pPr>
      <w:r w:rsidRPr="00BC3B05">
        <w:rPr>
          <w:rFonts w:asciiTheme="minorHAnsi" w:hAnsiTheme="minorHAnsi" w:cs="Arial"/>
          <w:b/>
          <w:color w:val="000000"/>
          <w:sz w:val="22"/>
          <w:szCs w:val="22"/>
          <w:u w:val="single"/>
        </w:rPr>
        <w:lastRenderedPageBreak/>
        <w:t>Prognoza sytuacji ekonomiczno-finansowej na lata 2017-2019</w:t>
      </w:r>
    </w:p>
    <w:p w:rsidR="00ED566A"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Tabela podsumowująca wyniki oceny sytuacji ekonomiczno – finansowej na lata 2016 – 2019</w:t>
      </w:r>
    </w:p>
    <w:p w:rsidR="00ED566A" w:rsidRDefault="00ED566A" w:rsidP="00ED566A">
      <w:pPr>
        <w:pStyle w:val="NormalnyWeb"/>
        <w:shd w:val="clear" w:color="auto" w:fill="FFFFFF"/>
        <w:spacing w:before="0" w:beforeAutospacing="0" w:after="225" w:afterAutospacing="0" w:line="360" w:lineRule="auto"/>
        <w:contextualSpacing/>
        <w:jc w:val="center"/>
        <w:rPr>
          <w:rFonts w:asciiTheme="minorHAnsi" w:hAnsiTheme="minorHAnsi" w:cs="Arial"/>
          <w:b/>
          <w:color w:val="000000"/>
          <w:sz w:val="22"/>
          <w:szCs w:val="22"/>
        </w:rPr>
      </w:pPr>
    </w:p>
    <w:tbl>
      <w:tblPr>
        <w:tblStyle w:val="Tabela-Siatka"/>
        <w:tblW w:w="0" w:type="auto"/>
        <w:tblInd w:w="-318" w:type="dxa"/>
        <w:tblLook w:val="04A0" w:firstRow="1" w:lastRow="0" w:firstColumn="1" w:lastColumn="0" w:noHBand="0" w:noVBand="1"/>
      </w:tblPr>
      <w:tblGrid>
        <w:gridCol w:w="3687"/>
        <w:gridCol w:w="1701"/>
        <w:gridCol w:w="1559"/>
        <w:gridCol w:w="1417"/>
        <w:gridCol w:w="1166"/>
      </w:tblGrid>
      <w:tr w:rsidR="00ED566A" w:rsidTr="00D27521">
        <w:tc>
          <w:tcPr>
            <w:tcW w:w="3687"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 xml:space="preserve">Wskaźniki </w:t>
            </w:r>
          </w:p>
        </w:tc>
        <w:tc>
          <w:tcPr>
            <w:tcW w:w="1701"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2016</w:t>
            </w:r>
          </w:p>
        </w:tc>
        <w:tc>
          <w:tcPr>
            <w:tcW w:w="1559"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2017</w:t>
            </w:r>
          </w:p>
        </w:tc>
        <w:tc>
          <w:tcPr>
            <w:tcW w:w="1417"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2018</w:t>
            </w:r>
          </w:p>
        </w:tc>
        <w:tc>
          <w:tcPr>
            <w:tcW w:w="1166"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p>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2"/>
                <w:szCs w:val="22"/>
              </w:rPr>
            </w:pPr>
            <w:r>
              <w:rPr>
                <w:rFonts w:asciiTheme="minorHAnsi" w:hAnsiTheme="minorHAnsi" w:cs="Arial"/>
                <w:b/>
                <w:color w:val="000000"/>
                <w:sz w:val="22"/>
                <w:szCs w:val="22"/>
              </w:rPr>
              <w:t>2019</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rPr>
                <w:rFonts w:asciiTheme="minorHAnsi" w:hAnsiTheme="minorHAnsi" w:cs="Arial"/>
                <w:color w:val="000000"/>
                <w:sz w:val="20"/>
                <w:szCs w:val="20"/>
              </w:rPr>
            </w:pPr>
            <w:r w:rsidRPr="00BC3B05">
              <w:rPr>
                <w:rFonts w:asciiTheme="minorHAnsi" w:hAnsiTheme="minorHAnsi" w:cs="Arial"/>
                <w:color w:val="000000"/>
                <w:sz w:val="20"/>
                <w:szCs w:val="20"/>
              </w:rPr>
              <w:t>Wskaźnik zyskowności netto</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rPr>
                <w:rFonts w:asciiTheme="minorHAnsi" w:hAnsiTheme="minorHAnsi" w:cs="Arial"/>
                <w:color w:val="000000"/>
                <w:sz w:val="20"/>
                <w:szCs w:val="20"/>
              </w:rPr>
            </w:pPr>
            <w:r w:rsidRPr="00BC3B05">
              <w:rPr>
                <w:rFonts w:asciiTheme="minorHAnsi" w:hAnsiTheme="minorHAnsi" w:cs="Arial"/>
                <w:color w:val="000000"/>
                <w:sz w:val="20"/>
                <w:szCs w:val="20"/>
              </w:rPr>
              <w:t>Wskaźnik</w:t>
            </w:r>
            <w:r>
              <w:rPr>
                <w:rFonts w:asciiTheme="minorHAnsi" w:hAnsiTheme="minorHAnsi" w:cs="Arial"/>
                <w:color w:val="000000"/>
                <w:sz w:val="20"/>
                <w:szCs w:val="20"/>
              </w:rPr>
              <w:t xml:space="preserve"> </w:t>
            </w:r>
            <w:r w:rsidRPr="00BC3B05">
              <w:rPr>
                <w:rFonts w:asciiTheme="minorHAnsi" w:hAnsiTheme="minorHAnsi" w:cs="Arial"/>
                <w:color w:val="000000"/>
                <w:sz w:val="20"/>
                <w:szCs w:val="20"/>
              </w:rPr>
              <w:t>zyskowności działalności operacyjnej</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zyskowności aktywów</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4</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zyskowności</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10</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9</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bieżącej płynności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4</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szybkiej płynności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13</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płynności finansowej</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21</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21</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12</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21</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rotacji należności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3</w:t>
            </w:r>
          </w:p>
        </w:tc>
      </w:tr>
      <w:tr w:rsidR="00ED566A" w:rsidTr="00D27521">
        <w:tc>
          <w:tcPr>
            <w:tcW w:w="3687" w:type="dxa"/>
          </w:tcPr>
          <w:p w:rsidR="00ED566A" w:rsidRPr="00BC3B05"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rotacji zobowiązań</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7</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efektywności</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10</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sidRPr="006F2540">
              <w:rPr>
                <w:rFonts w:asciiTheme="minorHAnsi" w:hAnsiTheme="minorHAnsi" w:cs="Arial"/>
                <w:color w:val="000000"/>
                <w:sz w:val="20"/>
                <w:szCs w:val="20"/>
              </w:rPr>
              <w:t>Wskaźnik zadłużenia aktywów</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10</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color w:val="000000"/>
                <w:sz w:val="20"/>
                <w:szCs w:val="20"/>
              </w:rPr>
            </w:pPr>
            <w:r>
              <w:rPr>
                <w:rFonts w:asciiTheme="minorHAnsi" w:hAnsiTheme="minorHAnsi" w:cs="Arial"/>
                <w:color w:val="000000"/>
                <w:sz w:val="20"/>
                <w:szCs w:val="20"/>
              </w:rPr>
              <w:t>Wskaźnik wypłacalności</w:t>
            </w:r>
          </w:p>
        </w:tc>
        <w:tc>
          <w:tcPr>
            <w:tcW w:w="1701"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559"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417"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c>
          <w:tcPr>
            <w:tcW w:w="1166" w:type="dxa"/>
          </w:tcPr>
          <w:p w:rsidR="00ED566A" w:rsidRPr="00BC3B05" w:rsidRDefault="00ED566A" w:rsidP="00D27521">
            <w:pPr>
              <w:pStyle w:val="NormalnyWeb"/>
              <w:spacing w:before="0" w:beforeAutospacing="0" w:after="225" w:afterAutospacing="0" w:line="360" w:lineRule="auto"/>
              <w:contextualSpacing/>
              <w:jc w:val="center"/>
              <w:rPr>
                <w:rFonts w:asciiTheme="minorHAnsi" w:hAnsiTheme="minorHAnsi" w:cs="Arial"/>
                <w:color w:val="000000"/>
                <w:sz w:val="20"/>
                <w:szCs w:val="20"/>
              </w:rPr>
            </w:pPr>
            <w:r>
              <w:rPr>
                <w:rFonts w:asciiTheme="minorHAnsi" w:hAnsiTheme="minorHAnsi" w:cs="Arial"/>
                <w:color w:val="000000"/>
                <w:sz w:val="20"/>
                <w:szCs w:val="20"/>
              </w:rPr>
              <w:t>8</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both"/>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Razem wskaźniki zadłużenia</w:t>
            </w:r>
          </w:p>
        </w:tc>
        <w:tc>
          <w:tcPr>
            <w:tcW w:w="1701"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w:t>
            </w:r>
            <w:r w:rsidRPr="006F2540">
              <w:rPr>
                <w:rFonts w:asciiTheme="minorHAnsi" w:hAnsiTheme="minorHAnsi" w:cs="Arial"/>
                <w:b/>
                <w:color w:val="000000"/>
                <w:sz w:val="20"/>
                <w:szCs w:val="20"/>
                <w:u w:val="single"/>
              </w:rPr>
              <w:t>8</w:t>
            </w:r>
          </w:p>
        </w:tc>
        <w:tc>
          <w:tcPr>
            <w:tcW w:w="1559"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1</w:t>
            </w:r>
            <w:r w:rsidRPr="006F2540">
              <w:rPr>
                <w:rFonts w:asciiTheme="minorHAnsi" w:hAnsiTheme="minorHAnsi" w:cs="Arial"/>
                <w:b/>
                <w:color w:val="000000"/>
                <w:sz w:val="20"/>
                <w:szCs w:val="20"/>
                <w:u w:val="single"/>
              </w:rPr>
              <w:t>8</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w:t>
            </w:r>
            <w:r>
              <w:rPr>
                <w:rFonts w:asciiTheme="minorHAnsi" w:hAnsiTheme="minorHAnsi" w:cs="Arial"/>
                <w:b/>
                <w:color w:val="000000"/>
                <w:sz w:val="20"/>
                <w:szCs w:val="20"/>
                <w:u w:val="single"/>
              </w:rPr>
              <w:t>8</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sidRPr="006F2540">
              <w:rPr>
                <w:rFonts w:asciiTheme="minorHAnsi" w:hAnsiTheme="minorHAnsi" w:cs="Arial"/>
                <w:b/>
                <w:color w:val="000000"/>
                <w:sz w:val="20"/>
                <w:szCs w:val="20"/>
                <w:u w:val="single"/>
              </w:rPr>
              <w:t>1</w:t>
            </w:r>
            <w:r>
              <w:rPr>
                <w:rFonts w:asciiTheme="minorHAnsi" w:hAnsiTheme="minorHAnsi" w:cs="Arial"/>
                <w:b/>
                <w:color w:val="000000"/>
                <w:sz w:val="20"/>
                <w:szCs w:val="20"/>
                <w:u w:val="single"/>
              </w:rPr>
              <w:t>8</w:t>
            </w:r>
          </w:p>
        </w:tc>
      </w:tr>
      <w:tr w:rsidR="00ED566A" w:rsidTr="00D27521">
        <w:tc>
          <w:tcPr>
            <w:tcW w:w="368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OGÓŁEM (wszystkie wskaźniki)</w:t>
            </w:r>
          </w:p>
        </w:tc>
        <w:tc>
          <w:tcPr>
            <w:tcW w:w="1701"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58</w:t>
            </w:r>
          </w:p>
        </w:tc>
        <w:tc>
          <w:tcPr>
            <w:tcW w:w="1559" w:type="dxa"/>
          </w:tcPr>
          <w:p w:rsidR="00ED566A"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59</w:t>
            </w:r>
          </w:p>
        </w:tc>
        <w:tc>
          <w:tcPr>
            <w:tcW w:w="1417"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49</w:t>
            </w:r>
          </w:p>
        </w:tc>
        <w:tc>
          <w:tcPr>
            <w:tcW w:w="1166" w:type="dxa"/>
          </w:tcPr>
          <w:p w:rsidR="00ED566A" w:rsidRPr="006F2540" w:rsidRDefault="00ED566A" w:rsidP="00D27521">
            <w:pPr>
              <w:pStyle w:val="NormalnyWeb"/>
              <w:spacing w:before="0" w:beforeAutospacing="0" w:after="225" w:afterAutospacing="0" w:line="360" w:lineRule="auto"/>
              <w:contextualSpacing/>
              <w:jc w:val="center"/>
              <w:rPr>
                <w:rFonts w:asciiTheme="minorHAnsi" w:hAnsiTheme="minorHAnsi" w:cs="Arial"/>
                <w:b/>
                <w:color w:val="000000"/>
                <w:sz w:val="20"/>
                <w:szCs w:val="20"/>
                <w:u w:val="single"/>
              </w:rPr>
            </w:pPr>
            <w:r>
              <w:rPr>
                <w:rFonts w:asciiTheme="minorHAnsi" w:hAnsiTheme="minorHAnsi" w:cs="Arial"/>
                <w:b/>
                <w:color w:val="000000"/>
                <w:sz w:val="20"/>
                <w:szCs w:val="20"/>
                <w:u w:val="single"/>
              </w:rPr>
              <w:t>58</w:t>
            </w:r>
          </w:p>
        </w:tc>
      </w:tr>
    </w:tbl>
    <w:p w:rsidR="00ED566A" w:rsidRDefault="00ED566A" w:rsidP="00ED566A">
      <w:pPr>
        <w:pStyle w:val="NormalnyWeb"/>
        <w:shd w:val="clear" w:color="auto" w:fill="FFFFFF"/>
        <w:spacing w:before="0" w:beforeAutospacing="0" w:after="225" w:afterAutospacing="0" w:line="276" w:lineRule="auto"/>
        <w:jc w:val="both"/>
        <w:rPr>
          <w:rFonts w:asciiTheme="minorHAnsi" w:hAnsiTheme="minorHAnsi" w:cs="Arial"/>
          <w:b/>
          <w:color w:val="000000"/>
        </w:rPr>
      </w:pPr>
    </w:p>
    <w:p w:rsidR="00ED566A" w:rsidRPr="00A06870" w:rsidRDefault="00ED566A" w:rsidP="00ED566A">
      <w:pPr>
        <w:pStyle w:val="NormalnyWeb"/>
        <w:shd w:val="clear" w:color="auto" w:fill="FFFFFF"/>
        <w:spacing w:before="0" w:beforeAutospacing="0" w:after="225" w:afterAutospacing="0" w:line="360" w:lineRule="auto"/>
        <w:ind w:firstLine="708"/>
        <w:jc w:val="both"/>
        <w:rPr>
          <w:rFonts w:asciiTheme="minorHAnsi" w:hAnsiTheme="minorHAnsi" w:cs="Arial"/>
          <w:color w:val="000000"/>
          <w:sz w:val="22"/>
          <w:szCs w:val="22"/>
        </w:rPr>
      </w:pPr>
      <w:r w:rsidRPr="00A06870">
        <w:rPr>
          <w:rFonts w:asciiTheme="minorHAnsi" w:hAnsiTheme="minorHAnsi" w:cs="Arial"/>
          <w:color w:val="000000"/>
          <w:sz w:val="22"/>
          <w:szCs w:val="22"/>
        </w:rPr>
        <w:t>Prognoza na lata 2017-2019 nie przewiduje pogorszenia wskaźników</w:t>
      </w:r>
      <w:r>
        <w:rPr>
          <w:rFonts w:asciiTheme="minorHAnsi" w:hAnsiTheme="minorHAnsi" w:cs="Arial"/>
          <w:color w:val="000000"/>
          <w:sz w:val="22"/>
          <w:szCs w:val="22"/>
        </w:rPr>
        <w:t xml:space="preserve"> ekonomiczno – finansowych. Wartość punktowa wskaźników w roku 2017 i 2019 pozostanie na poziomie roku 2016. Wyjątkiem jest rok 2018 gdzie łączna ocena punktowa wynosi 49. Wpływ na sytuację ekonomiczno – finansową będzie miała realizacja projektów współfinansowanych ze środków Unii Europejskiej. </w:t>
      </w:r>
      <w:r w:rsidR="00957888">
        <w:rPr>
          <w:rFonts w:asciiTheme="minorHAnsi" w:hAnsiTheme="minorHAnsi" w:cs="Arial"/>
          <w:color w:val="000000"/>
          <w:sz w:val="22"/>
          <w:szCs w:val="22"/>
        </w:rPr>
        <w:t xml:space="preserve">         </w:t>
      </w:r>
      <w:r>
        <w:rPr>
          <w:rFonts w:asciiTheme="minorHAnsi" w:hAnsiTheme="minorHAnsi" w:cs="Arial"/>
          <w:color w:val="000000"/>
          <w:sz w:val="22"/>
          <w:szCs w:val="22"/>
        </w:rPr>
        <w:t>W związku z czym znacznym zmianom ulegną przepływy pieniężne.</w:t>
      </w:r>
    </w:p>
    <w:p w:rsidR="00ED566A" w:rsidRPr="00477FFB" w:rsidRDefault="00ED566A" w:rsidP="00ED566A">
      <w:pPr>
        <w:spacing w:line="360" w:lineRule="auto"/>
        <w:jc w:val="both"/>
      </w:pPr>
      <w:r>
        <w:lastRenderedPageBreak/>
        <w:t>Prognozowana średnia punktów  za lata 2017 -2019 wyniesie  56, co stanowi 79% maksymalnej ilości punktów.</w:t>
      </w:r>
    </w:p>
    <w:p w:rsidR="00ED566A" w:rsidRPr="00604F5E" w:rsidRDefault="00ED566A" w:rsidP="00ED566A">
      <w:pPr>
        <w:spacing w:line="360" w:lineRule="auto"/>
        <w:jc w:val="both"/>
        <w:rPr>
          <w:b/>
          <w:u w:val="single"/>
        </w:rPr>
      </w:pPr>
      <w:r w:rsidRPr="00604F5E">
        <w:rPr>
          <w:b/>
          <w:u w:val="single"/>
        </w:rPr>
        <w:t xml:space="preserve">Ocena ogólna </w:t>
      </w:r>
    </w:p>
    <w:p w:rsidR="00ED566A" w:rsidRDefault="00ED566A" w:rsidP="001709B6">
      <w:pPr>
        <w:spacing w:line="360" w:lineRule="auto"/>
        <w:ind w:firstLine="708"/>
        <w:jc w:val="both"/>
      </w:pPr>
      <w:r w:rsidRPr="00604F5E">
        <w:t xml:space="preserve">Biorąc pod uwagę </w:t>
      </w:r>
      <w:r>
        <w:t xml:space="preserve">przedstawiony raport o sytuacji ekonomiczno-finansowej, jak również </w:t>
      </w:r>
      <w:r w:rsidRPr="00604F5E">
        <w:t xml:space="preserve">prognozę  </w:t>
      </w:r>
      <w:r>
        <w:t xml:space="preserve">sytuacji ekonomiczno-finansowej na kolejne trzy lata obrotowe tj.: lata 2017 – 2019 uwzględniając poprawność i kompletność przyjętych założeń oraz realność wykonania prognozy, </w:t>
      </w:r>
      <w:r w:rsidRPr="004F0947">
        <w:rPr>
          <w:b/>
          <w:u w:val="single"/>
        </w:rPr>
        <w:t>pozytywnie oceniam</w:t>
      </w:r>
      <w:r>
        <w:rPr>
          <w:b/>
        </w:rPr>
        <w:t xml:space="preserve"> </w:t>
      </w:r>
      <w:r>
        <w:t>sytuację ekonomiczno-finansową samodzielnego publicznego zakładu opieki zdrowotnej Centrum Rehabilitacji.</w:t>
      </w:r>
    </w:p>
    <w:p w:rsidR="00676266" w:rsidRDefault="00676266"/>
    <w:sectPr w:rsidR="00676266" w:rsidSect="0067626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E0002AFF" w:usb1="C0007843" w:usb2="00000009" w:usb3="00000000" w:csb0="000001FF" w:csb1="00000000"/>
  </w:font>
  <w:font w:name="Comic Sans MS">
    <w:panose1 w:val="030F0702030302020204"/>
    <w:charset w:val="EE"/>
    <w:family w:val="script"/>
    <w:pitch w:val="variable"/>
    <w:sig w:usb0="00000287" w:usb1="40000013"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6825E90"/>
    <w:multiLevelType w:val="hybridMultilevel"/>
    <w:tmpl w:val="E92AA78A"/>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45231ED3"/>
    <w:multiLevelType w:val="hybridMultilevel"/>
    <w:tmpl w:val="6CB0F554"/>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D566A"/>
    <w:rsid w:val="000A2F1D"/>
    <w:rsid w:val="001709B6"/>
    <w:rsid w:val="001D361C"/>
    <w:rsid w:val="002E5F2B"/>
    <w:rsid w:val="005433EC"/>
    <w:rsid w:val="005B18F9"/>
    <w:rsid w:val="00665A98"/>
    <w:rsid w:val="00676266"/>
    <w:rsid w:val="00957888"/>
    <w:rsid w:val="00ED566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66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ED566A"/>
    <w:pPr>
      <w:ind w:left="720"/>
      <w:contextualSpacing/>
    </w:pPr>
  </w:style>
  <w:style w:type="table" w:styleId="Tabela-Siatka">
    <w:name w:val="Table Grid"/>
    <w:basedOn w:val="Standardowy"/>
    <w:uiPriority w:val="59"/>
    <w:rsid w:val="00ED5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09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ED566A"/>
    <w:pPr>
      <w:spacing w:before="100" w:beforeAutospacing="1" w:after="100" w:afterAutospacing="1" w:line="240" w:lineRule="auto"/>
    </w:pPr>
    <w:rPr>
      <w:rFonts w:ascii="Times New Roman" w:eastAsia="Times New Roman" w:hAnsi="Times New Roman" w:cs="Times New Roman"/>
      <w:sz w:val="24"/>
      <w:szCs w:val="24"/>
    </w:rPr>
  </w:style>
  <w:style w:type="paragraph" w:styleId="Akapitzlist">
    <w:name w:val="List Paragraph"/>
    <w:basedOn w:val="Normalny"/>
    <w:uiPriority w:val="34"/>
    <w:qFormat/>
    <w:rsid w:val="00ED566A"/>
    <w:pPr>
      <w:ind w:left="720"/>
      <w:contextualSpacing/>
    </w:pPr>
  </w:style>
  <w:style w:type="table" w:styleId="Tabela-Siatka">
    <w:name w:val="Table Grid"/>
    <w:basedOn w:val="Standardowy"/>
    <w:uiPriority w:val="59"/>
    <w:rsid w:val="00ED566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uiPriority w:val="99"/>
    <w:semiHidden/>
    <w:unhideWhenUsed/>
    <w:rsid w:val="001709B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1709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37206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8</Pages>
  <Words>1601</Words>
  <Characters>9611</Characters>
  <Application>Microsoft Office Word</Application>
  <DocSecurity>0</DocSecurity>
  <Lines>80</Lines>
  <Paragraphs>22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11190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anzaw</dc:creator>
  <cp:lastModifiedBy>Urszula Kosecka</cp:lastModifiedBy>
  <cp:revision>6</cp:revision>
  <cp:lastPrinted>2017-09-18T09:50:00Z</cp:lastPrinted>
  <dcterms:created xsi:type="dcterms:W3CDTF">2017-09-15T05:48:00Z</dcterms:created>
  <dcterms:modified xsi:type="dcterms:W3CDTF">2017-09-18T09:51:00Z</dcterms:modified>
</cp:coreProperties>
</file>