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161AC9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>Zarządzenie Nr 257/2017</w:t>
      </w: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br/>
        <w:t>Prezydenta Miasta Elbląg</w:t>
      </w:r>
    </w:p>
    <w:p w:rsidR="00161AC9" w:rsidRPr="00161AC9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dnia 31 maja 2017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161AC9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podstawie art.35 ust.1 i 2, art.37 ust.2 pkt 1 i art. 68 ust.1 pkt. 7 ustawy z dnia 21 sierpnia 1997 r. o gospodarce nieruchomościami (Dz. U. z 2016 r. poz. 2147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Dz.Urz.Woj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Warm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.-Mazur. z 2016 r. poz.4693), </w:t>
      </w:r>
    </w:p>
    <w:p w:rsidR="00161AC9" w:rsidRPr="00161AC9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zarządza się, co następuje: 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1.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 Udziela się bonifikaty od ceny sprzedaży lokali mieszkalnych, o których mowa w ust.1,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wysokościach jak w załączniku nr 1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 Udziela się bonifikaty od ceny sprzedaży lokali mieszkalnych oraz od pierwszej opłaty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 Szczegółowe warunki sprzedaży nieruchomości lokalowych zostaną ustalone w protokołach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 rokowań. 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2.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 Ogłasza się wykaz nieruchomości przeznaczonych do zbycia, wymienionych w załącznikach nr 1, 2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 Wykaz nieruchomości, o którym mowa w ust. 1 podlega ogłoszeniu poprzez wywieszenie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na tablicy ogłoszeń w siedzibie Urzędu Miejskiego w Elblągu na okres 21 dni, a ponadto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informacja o jego wywieszeniu podana zostanie do wiadomości publicznej poprzez ogłoszenie w prasie lokalnej.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3.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Wykonanie zarządzenia nastąpi w drodze umów w formie aktu notarialnego.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4.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Zarządzenie wchodzi w życie z dniem podpisania. </w:t>
      </w:r>
    </w:p>
    <w:p w:rsidR="00161AC9" w:rsidRDefault="00161AC9">
      <w:pPr>
        <w:sectPr w:rsidR="00161AC9" w:rsidSect="00161AC9"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:rsidR="00161AC9" w:rsidRPr="00161AC9" w:rsidRDefault="00161AC9" w:rsidP="00161AC9">
      <w:pPr>
        <w:ind w:left="96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Załącznik Nr 1 do Zarządzenia 257/2017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Prezydenta Miasta Elbląg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 dnia 31 maja 2017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Wykaz lokali mieszkalnych przeznaczonych do sprzedaży w trybie bezprzetargowym na rzecz ich najemców wraz z udziałem w prawie własności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520"/>
        <w:gridCol w:w="919"/>
        <w:gridCol w:w="993"/>
        <w:gridCol w:w="992"/>
        <w:gridCol w:w="850"/>
        <w:gridCol w:w="1134"/>
        <w:gridCol w:w="812"/>
        <w:gridCol w:w="2115"/>
        <w:gridCol w:w="2115"/>
        <w:gridCol w:w="1515"/>
      </w:tblGrid>
      <w:tr w:rsidR="00161AC9" w:rsidRPr="00161AC9" w:rsidTr="0064507C">
        <w:trPr>
          <w:trHeight w:val="273"/>
        </w:trPr>
        <w:tc>
          <w:tcPr>
            <w:tcW w:w="52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24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4911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21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5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161AC9" w:rsidRPr="00161AC9" w:rsidTr="0064507C">
        <w:tc>
          <w:tcPr>
            <w:tcW w:w="52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1134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  </w:t>
            </w:r>
            <w:bookmarkStart w:id="0" w:name="_GoBack"/>
            <w:bookmarkEnd w:id="0"/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obrębu </w:t>
            </w:r>
          </w:p>
        </w:tc>
        <w:tc>
          <w:tcPr>
            <w:tcW w:w="81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21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161AC9" w:rsidRPr="00161AC9" w:rsidTr="0064507C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Jaśminowa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46,3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265/3</w:t>
            </w:r>
          </w:p>
        </w:tc>
        <w:tc>
          <w:tcPr>
            <w:tcW w:w="1134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81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0,0238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EL1E/00047141/4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111.000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95</w:t>
            </w:r>
          </w:p>
        </w:tc>
      </w:tr>
      <w:tr w:rsidR="00161AC9" w:rsidRPr="00161AC9" w:rsidTr="0064507C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Jana Kilińskiego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45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41,4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147/2</w:t>
            </w:r>
          </w:p>
        </w:tc>
        <w:tc>
          <w:tcPr>
            <w:tcW w:w="1134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</w:t>
            </w:r>
          </w:p>
        </w:tc>
        <w:tc>
          <w:tcPr>
            <w:tcW w:w="81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0,0460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EL1E/00099180/8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104.700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95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670"/>
      </w:tblGrid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* Osoby, o których mowa w art.34 ust.1 ustawy o gospodarce nieruchomościami nabywają nieruchomość za cenę określoną na podstawie art.67 ust.3 ustawy o gospodarce nieruchomościami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161AC9" w:rsidRDefault="00161AC9"/>
    <w:p w:rsidR="00161AC9" w:rsidRDefault="00161AC9">
      <w:r>
        <w:br w:type="page"/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ind w:left="949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>Załącznik Nr 2 do Zarządzenia Nr 257/2017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Prezydenta Miasta Elbląg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z dnia 31 maja 2017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Wykaz lokali mieszkalnych przeznaczonych do sprzedaży w trybie bezprzetargowym na rzecz ich najemców wraz z udziałem w prawie użytkowania wieczystego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2325"/>
        <w:gridCol w:w="1065"/>
        <w:gridCol w:w="825"/>
        <w:gridCol w:w="795"/>
        <w:gridCol w:w="855"/>
        <w:gridCol w:w="840"/>
        <w:gridCol w:w="870"/>
        <w:gridCol w:w="1890"/>
        <w:gridCol w:w="1200"/>
        <w:gridCol w:w="1155"/>
        <w:gridCol w:w="1155"/>
        <w:gridCol w:w="1380"/>
      </w:tblGrid>
      <w:tr w:rsidR="00161AC9" w:rsidRPr="00161AC9">
        <w:trPr>
          <w:cantSplit/>
          <w:trHeight w:val="274"/>
        </w:trPr>
        <w:tc>
          <w:tcPr>
            <w:tcW w:w="5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5010" w:type="dxa"/>
            <w:gridSpan w:val="4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455" w:type="dxa"/>
            <w:gridSpan w:val="4"/>
            <w:tcBorders>
              <w:left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00" w:type="dxa"/>
            <w:vMerge w:val="restart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38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pierwszej opłaty za użytkowanie wieczyste w %</w:t>
            </w:r>
          </w:p>
        </w:tc>
      </w:tr>
      <w:tr w:rsidR="00161AC9" w:rsidRPr="00161AC9">
        <w:trPr>
          <w:cantSplit/>
          <w:trHeight w:val="1665"/>
        </w:trPr>
        <w:tc>
          <w:tcPr>
            <w:tcW w:w="5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</w:t>
            </w:r>
          </w:p>
        </w:tc>
        <w:tc>
          <w:tcPr>
            <w:tcW w:w="1200" w:type="dxa"/>
            <w:vMerge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38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</w:tr>
      <w:tr w:rsidR="00161AC9" w:rsidRPr="00161AC9">
        <w:trPr>
          <w:cantSplit/>
          <w:trHeight w:val="451"/>
        </w:trPr>
        <w:tc>
          <w:tcPr>
            <w:tcW w:w="5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Giermków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36,9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313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0,0896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EL1E/00027366/1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110.929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2.971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161AC9" w:rsidRPr="00161AC9">
        <w:trPr>
          <w:cantSplit/>
          <w:trHeight w:val="451"/>
        </w:trPr>
        <w:tc>
          <w:tcPr>
            <w:tcW w:w="5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Królewiecka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40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57,8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77/4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0,0439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EL1E/00031963/7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142.486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4.514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</w:tr>
      <w:tr w:rsidR="00161AC9" w:rsidRPr="00161AC9">
        <w:trPr>
          <w:cantSplit/>
          <w:trHeight w:val="451"/>
        </w:trPr>
        <w:tc>
          <w:tcPr>
            <w:tcW w:w="5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Lubraniecka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38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59,1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0,0316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EL1E/00029835/4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147.158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6.342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shd w:val="clear" w:color="auto" w:fill="FFFFFF"/>
          <w:lang w:eastAsia="pl-PL"/>
        </w:rPr>
      </w:pP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09"/>
      </w:tblGrid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1. 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2. Pierwsza opłata z tytułu ustanowienia prawa użytkowania wieczystego, stanowi 25 % wartości udziału w gruncie i zostanie powiększona o należny podatek VAT. Opłata ta wraz z ceną sprzedaży lokalu płatna jest przed zawarciem umowy sprzedaży.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3. Kolejne opłaty roczne, stanowią 1 % wartości udziału w gruncie, zostaną powiększone o należny podatek VAT, płatne są z góry w terminie do dnia 31 marca każdego roku.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4. Wysokość opłat rocznych może być aktualizowana na skutek zmian wartości gruntu, nie częściej niż raz na 3 lata.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shd w:val="clear" w:color="auto" w:fill="FFFFFF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 </w:t>
            </w:r>
          </w:p>
        </w:tc>
      </w:tr>
    </w:tbl>
    <w:p w:rsidR="00161AC9" w:rsidRDefault="00161AC9"/>
    <w:p w:rsidR="003A1294" w:rsidRDefault="003A1294"/>
    <w:sectPr w:rsidR="003A1294" w:rsidSect="00161AC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161AC9"/>
    <w:rsid w:val="003A1294"/>
    <w:rsid w:val="00645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748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Arleta Linda</cp:lastModifiedBy>
  <cp:revision>2</cp:revision>
  <dcterms:created xsi:type="dcterms:W3CDTF">2017-06-09T06:49:00Z</dcterms:created>
  <dcterms:modified xsi:type="dcterms:W3CDTF">2017-06-09T06:56:00Z</dcterms:modified>
</cp:coreProperties>
</file>