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C12E2">
      <w:pPr>
        <w:jc w:val="center"/>
        <w:rPr>
          <w:b/>
          <w:caps/>
        </w:rPr>
      </w:pPr>
      <w:r>
        <w:rPr>
          <w:b/>
          <w:caps/>
        </w:rPr>
        <w:t>Zarządzenie Nr 108 /2017</w:t>
      </w:r>
      <w:r>
        <w:rPr>
          <w:b/>
          <w:caps/>
        </w:rPr>
        <w:br/>
        <w:t>Prezydenta Miasta Elbląg</w:t>
      </w:r>
    </w:p>
    <w:p w:rsidR="00A77B3E" w:rsidRDefault="000C12E2">
      <w:pPr>
        <w:spacing w:before="280" w:after="280"/>
        <w:jc w:val="center"/>
        <w:rPr>
          <w:b/>
          <w:caps/>
        </w:rPr>
      </w:pPr>
      <w:r>
        <w:t>z dnia 10 marca 2017 r.</w:t>
      </w:r>
    </w:p>
    <w:p w:rsidR="00A77B3E" w:rsidRDefault="000C12E2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0C12E2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2016 r. poz. 2147 ze zm.)</w:t>
      </w:r>
    </w:p>
    <w:p w:rsidR="00A77B3E" w:rsidRDefault="000C12E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0354CF" w:rsidRDefault="000C12E2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0C12E2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zarządzenia.</w:t>
      </w:r>
    </w:p>
    <w:p w:rsidR="00A77B3E" w:rsidRDefault="000C12E2">
      <w:pPr>
        <w:keepLines/>
        <w:spacing w:before="120" w:after="120"/>
        <w:ind w:hanging="227"/>
      </w:pPr>
      <w:r>
        <w:t>2</w:t>
      </w:r>
      <w:r>
        <w:t>. </w:t>
      </w:r>
      <w:r>
        <w:t>Szczegółowe warunki wynajęcia lub wydzierżawienia nieruchomości zostaną ustalone w umowach najmu lub dzierżawy.</w:t>
      </w:r>
    </w:p>
    <w:p w:rsidR="000354CF" w:rsidRDefault="000C12E2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0C12E2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zarządzenia.</w:t>
      </w:r>
    </w:p>
    <w:p w:rsidR="00A77B3E" w:rsidRDefault="000C12E2">
      <w:pPr>
        <w:keepLines/>
        <w:spacing w:before="120" w:after="120"/>
        <w:ind w:hanging="227"/>
      </w:pPr>
      <w:r>
        <w:t>2. </w:t>
      </w:r>
      <w: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</w:t>
      </w:r>
      <w:r>
        <w:t>zeniu podana zostanie do wiadomości publicznej poprzez ogłoszenie w prasie lokalnej.</w:t>
      </w:r>
    </w:p>
    <w:p w:rsidR="000354CF" w:rsidRDefault="000C12E2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0C12E2">
      <w:pPr>
        <w:keepLines/>
        <w:spacing w:before="120" w:after="120"/>
      </w:pPr>
      <w:r>
        <w:t>Wykonanie zarządzenia powierza się Dyrektorowi Zarządu Budynków Komunalnych w Elblągu.</w:t>
      </w:r>
    </w:p>
    <w:p w:rsidR="000354CF" w:rsidRDefault="000C12E2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0C12E2">
      <w:pPr>
        <w:keepLines/>
        <w:spacing w:before="120" w:after="120"/>
      </w:pPr>
      <w:r>
        <w:t>Zarządzenie wchodzi w życie z dniem podpisania.</w:t>
      </w:r>
    </w:p>
    <w:p w:rsidR="000C12E2" w:rsidRDefault="000C12E2">
      <w:pPr>
        <w:keepLines/>
        <w:spacing w:before="120" w:after="120"/>
      </w:pPr>
    </w:p>
    <w:p w:rsidR="000C12E2" w:rsidRDefault="000C12E2">
      <w:pPr>
        <w:keepLines/>
        <w:spacing w:before="120" w:after="120"/>
        <w:sectPr w:rsidR="000C12E2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0C12E2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 N</w:t>
      </w:r>
      <w:r>
        <w:t>r 1 do Zarządzenia nr 108 /2017                     Prezydenta Miasta Elbląg z dnia 10 marca 2017 r.</w:t>
      </w:r>
    </w:p>
    <w:p w:rsidR="00A77B3E" w:rsidRDefault="000C12E2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0C12E2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7"/>
        <w:gridCol w:w="1814"/>
        <w:gridCol w:w="1800"/>
        <w:gridCol w:w="989"/>
        <w:gridCol w:w="1374"/>
        <w:gridCol w:w="989"/>
        <w:gridCol w:w="2514"/>
        <w:gridCol w:w="1910"/>
        <w:gridCol w:w="1813"/>
      </w:tblGrid>
      <w:tr w:rsidR="000354CF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0C12E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0C12E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0C12E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działki w ha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A77B3E" w:rsidRDefault="000C12E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0C12E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 m2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A77B3E" w:rsidRDefault="000C12E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0354CF">
        <w:trPr>
          <w:trHeight w:val="32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12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12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12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12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12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12"/>
              </w:rPr>
            </w:pPr>
            <w:r>
              <w:rPr>
                <w:sz w:val="12"/>
              </w:rPr>
              <w:t>9</w:t>
            </w:r>
          </w:p>
        </w:tc>
      </w:tr>
      <w:tr w:rsidR="000354CF">
        <w:trPr>
          <w:trHeight w:val="86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Tadeusza </w:t>
            </w:r>
            <w:proofErr w:type="spellStart"/>
            <w:r>
              <w:rPr>
                <w:sz w:val="20"/>
              </w:rPr>
              <w:t>Rechniewskiego</w:t>
            </w:r>
            <w:proofErr w:type="spellEnd"/>
            <w:r>
              <w:rPr>
                <w:sz w:val="20"/>
              </w:rPr>
              <w:t xml:space="preserve"> 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EL1E/00032268/2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0,1828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obudowę śmietnikową dla lokalizacji przy ul. Okrzei 5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42,00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54CF">
        <w:trPr>
          <w:trHeight w:val="57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Zagonowa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91/69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0,0009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54CF">
        <w:trPr>
          <w:trHeight w:val="57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91/72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0,0009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54CF">
        <w:trPr>
          <w:trHeight w:val="57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91/13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54CF">
        <w:trPr>
          <w:trHeight w:val="57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Aleja </w:t>
            </w:r>
          </w:p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Grunwaldzka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EL1E/00036453/4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6/2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0,3323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Najem komórki </w:t>
            </w:r>
          </w:p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gospodarczej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5,00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54CF">
        <w:trPr>
          <w:trHeight w:val="57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Romualda </w:t>
            </w:r>
          </w:p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Traugutta 33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EL1E/00032655/2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226/7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0,0909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25,40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5,86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54CF">
        <w:trPr>
          <w:trHeight w:val="57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Aleksandra </w:t>
            </w:r>
          </w:p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Fredry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EL1E/00033547/9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0,0038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35,40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5,86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54CF">
        <w:trPr>
          <w:trHeight w:val="57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Krakusa 103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EL1E/00036493/6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682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54CF">
        <w:trPr>
          <w:trHeight w:val="57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EL1E/00032282/6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51/7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0,05110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Najem komórki </w:t>
            </w:r>
          </w:p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gospodarczej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54CF">
        <w:trPr>
          <w:trHeight w:val="57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Częstochowska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EL1E/00090856/5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585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0,1862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Najem komórki </w:t>
            </w:r>
          </w:p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gospodarczej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17,80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54CF">
        <w:trPr>
          <w:trHeight w:val="57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Częstochowska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EL1E/00090856/5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585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0,1862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12,44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5,86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54CF">
        <w:trPr>
          <w:trHeight w:val="57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Częstochowska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EL1E/00090856/5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585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0,1862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15,60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5,86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54CF">
        <w:trPr>
          <w:trHeight w:val="57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Lotnicza </w:t>
            </w:r>
          </w:p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(budynek nr 58)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38/2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1,5995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lokalu na działalność związaną z produkcją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86,02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3,95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54CF">
        <w:trPr>
          <w:trHeight w:val="57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Aleja </w:t>
            </w:r>
          </w:p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Grunwaldzka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108/128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54CF">
        <w:trPr>
          <w:trHeight w:val="57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Wspólna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EL1E/00033556/5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73/5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0,0914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</w:t>
            </w:r>
            <w:r>
              <w:rPr>
                <w:sz w:val="20"/>
              </w:rPr>
              <w:t xml:space="preserve">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54CF">
        <w:trPr>
          <w:trHeight w:val="57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Saperów 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EL1E/00040939/6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591/1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0,0017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54CF">
        <w:trPr>
          <w:trHeight w:val="57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Sadowa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EL1E/00033108/0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78/5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1,8980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8,60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354CF">
        <w:trPr>
          <w:trHeight w:val="57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Słonecznikowa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EL1E/00027312/8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70/1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0,1520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0354CF">
        <w:trPr>
          <w:trHeight w:val="576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84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0,0249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Najem komórki </w:t>
            </w:r>
          </w:p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gospodarczej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12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0C12E2">
      <w:pPr>
        <w:spacing w:before="120" w:after="120"/>
      </w:pPr>
      <w:r>
        <w:t>Czynsz określony w skali miesiąca płatny jest do dnia 10 każdego miesiąca. Czynsz</w:t>
      </w:r>
      <w:r>
        <w:t xml:space="preserve"> określony w skali roku płatny jest do 31 marca każdego roku.</w:t>
      </w:r>
    </w:p>
    <w:p w:rsidR="00A77B3E" w:rsidRDefault="000C12E2">
      <w:pPr>
        <w:spacing w:before="120" w:after="120"/>
      </w:pPr>
      <w:r>
        <w:t>Podany w tabeli czynsz za grunty/lokale oddawane w dzierżawę/najem w drodze przetargu określa stawkę wyjściową do przetargu.</w:t>
      </w:r>
    </w:p>
    <w:p w:rsidR="00A77B3E" w:rsidRDefault="000C12E2">
      <w:pPr>
        <w:spacing w:before="120" w:after="120"/>
      </w:pPr>
      <w:r>
        <w:t>Zmiana czynszu może nastąpić w przypadku zmiany zarządzenia Prezydent</w:t>
      </w:r>
      <w:r>
        <w:t>a Miasta Elbląga w sprawie ustalenia stawek czynszu za dzierżawę i 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4CF"/>
    <w:rsid w:val="000354CF"/>
    <w:rsid w:val="000C1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127C1C1-C3E3-4AE4-B429-7EFF91E7A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108 /2017 z dnia 10 marca 2017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2017-03-17T08:44:00Z</dcterms:created>
  <dcterms:modified xsi:type="dcterms:W3CDTF">2017-03-17T08:44:00Z</dcterms:modified>
  <cp:category>Akt prawny</cp:category>
</cp:coreProperties>
</file>