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A054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388/2015</w:t>
      </w:r>
      <w:r>
        <w:rPr>
          <w:b/>
          <w:caps/>
        </w:rPr>
        <w:br/>
        <w:t>Prezydenta Miasta Elbląg</w:t>
      </w:r>
    </w:p>
    <w:p w:rsidR="00A77B3E" w:rsidRDefault="002A0549">
      <w:pPr>
        <w:spacing w:before="280" w:after="280"/>
        <w:jc w:val="center"/>
        <w:rPr>
          <w:b/>
          <w:caps/>
        </w:rPr>
      </w:pPr>
      <w:r>
        <w:t>z dnia 23 września 2015 r.</w:t>
      </w:r>
    </w:p>
    <w:p w:rsidR="00A77B3E" w:rsidRDefault="002A0549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A0549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2015 r. poz.782)</w:t>
      </w:r>
    </w:p>
    <w:p w:rsidR="00A77B3E" w:rsidRDefault="002A054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B40F2" w:rsidRDefault="002A054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A0549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2A0549">
      <w:pPr>
        <w:keepLines/>
        <w:spacing w:before="120" w:after="120"/>
        <w:ind w:hanging="227"/>
      </w:pPr>
      <w:r>
        <w:t>2. </w:t>
      </w:r>
      <w:r>
        <w:t>Szczegó</w:t>
      </w:r>
      <w:r>
        <w:t>łowe warunki wynajęcia lub wydzierżawienia nieruchomości zostaną ustalone w umowach najmu lub dzierżawy.</w:t>
      </w:r>
    </w:p>
    <w:p w:rsidR="008B40F2" w:rsidRDefault="002A054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A0549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2A0549">
      <w:pPr>
        <w:keepLines/>
        <w:spacing w:before="120" w:after="120"/>
        <w:ind w:hanging="227"/>
      </w:pPr>
      <w:r>
        <w:t>2. </w:t>
      </w:r>
      <w:r>
        <w:t>Wykaz nie</w:t>
      </w:r>
      <w:r>
        <w:t>ruchomości, o którym mowa w ust. 1 podlega ogłoszeniu poprzez wywieszenie na tablicy ogłoszeń w siedzibie Urzędu Miejskiego na okres 21 dni oraz umieszczenie na stronach internetowych Urzędu Miejskiego w Elblągu, a ponadto informacja o jego wywieszeniu pod</w:t>
      </w:r>
      <w:r>
        <w:t>ana zostanie do wiadomości publicznej poprzez ogłoszenie w prasie lokalnej.</w:t>
      </w:r>
    </w:p>
    <w:p w:rsidR="008B40F2" w:rsidRDefault="002A054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A0549">
      <w:pPr>
        <w:keepLines/>
        <w:spacing w:before="120" w:after="120"/>
      </w:pPr>
      <w:r>
        <w:t>Wykonanie zarządzenia powierza się Dyrektorowi Zarządu Budynków Komunalnych w Elblągu.</w:t>
      </w:r>
    </w:p>
    <w:p w:rsidR="008B40F2" w:rsidRDefault="002A054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A0549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2A0549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1 do </w:t>
      </w:r>
      <w:r>
        <w:t>Zarządzenia nr 388/2015 Prezydenta Miasta Elbląg z dnia 23 września 2015 r.</w:t>
      </w:r>
    </w:p>
    <w:p w:rsidR="00A77B3E" w:rsidRDefault="002A0549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2A0549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274"/>
        <w:gridCol w:w="1789"/>
        <w:gridCol w:w="1137"/>
        <w:gridCol w:w="1001"/>
        <w:gridCol w:w="985"/>
        <w:gridCol w:w="2592"/>
        <w:gridCol w:w="1789"/>
        <w:gridCol w:w="2047"/>
      </w:tblGrid>
      <w:tr w:rsidR="008B40F2">
        <w:trPr>
          <w:trHeight w:val="75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 gruntu/lokalu w 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Stawka </w:t>
            </w:r>
            <w:r>
              <w:rPr>
                <w:b/>
                <w:sz w:val="20"/>
              </w:rPr>
              <w:t>jednostkowa czynszu najmu lub dzierżawy</w:t>
            </w:r>
          </w:p>
        </w:tc>
      </w:tr>
      <w:tr w:rsidR="008B40F2">
        <w:trPr>
          <w:trHeight w:val="75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</w:p>
        </w:tc>
      </w:tr>
      <w:tr w:rsidR="008B40F2">
        <w:trPr>
          <w:trHeight w:val="7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Łódzka 58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218/20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0,006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terenu na cele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B40F2">
        <w:trPr>
          <w:trHeight w:val="7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Słonecznikowa 3,5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EL1E/00027312/8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71/3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0,33910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 xml:space="preserve">Dzierżawa gruntu na </w:t>
            </w:r>
            <w:r>
              <w:rPr>
                <w:sz w:val="20"/>
              </w:rPr>
              <w:t>cele 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B40F2">
        <w:trPr>
          <w:trHeight w:val="67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Słonecznikowa 3,5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EL1E/00027312/8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71/3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0,33910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B40F2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240,00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 xml:space="preserve">0,24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B40F2">
        <w:trPr>
          <w:trHeight w:val="7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EL1E/00032037/4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740/7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0,0056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gruntu na cele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handlowe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60,77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7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Niska 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EL1E/00034589/2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53/71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0,2523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6,40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Adama Mickiewicza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EL1E/00033283/0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0,0241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Najem lokalu na cele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usługowe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61,10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7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Fabryczna 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EL1E/00090919/5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25/2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0,423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Najem lokalu na cele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usługowe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174,70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67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Aleja Grunwaldzka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Najem lokalu na</w:t>
            </w:r>
            <w:r>
              <w:rPr>
                <w:sz w:val="20"/>
              </w:rPr>
              <w:t xml:space="preserve"> cele statutowe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86,70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Jana Bażyńskiego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EL1E/00031296/0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386/8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Saperów 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EL1E/00038257/4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319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0,0867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ul.</w:t>
            </w:r>
            <w:r>
              <w:rPr>
                <w:sz w:val="20"/>
              </w:rPr>
              <w:t xml:space="preserve"> Saperów 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B40F2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EL1E/00032037/4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740/12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0,0822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ul. Saperów 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B40F2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Częstochowska 2-6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EL1E/00040537/8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0,2641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wspólnoty mieszkaniowej przy ul. Częstochowskiej 2-6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1427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B40F2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Aleja Grunwaldzka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Najem części ściany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budynku przy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al. Grunwaldzkiej 87 celem umieszczenia tablicy kierunkowej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6,00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  <w:vertAlign w:val="superscript"/>
              </w:rPr>
              <w:t xml:space="preserve"> </w:t>
            </w:r>
            <w:r>
              <w:rPr>
                <w:sz w:val="20"/>
              </w:rPr>
              <w:t>/m-c</w:t>
            </w:r>
          </w:p>
        </w:tc>
      </w:tr>
      <w:tr w:rsidR="008B40F2">
        <w:trPr>
          <w:trHeight w:val="8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Aleja Grunwaldzka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Najem części ściany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budynku przy</w:t>
            </w:r>
          </w:p>
          <w:p w:rsidR="00A77B3E" w:rsidRDefault="002A0549">
            <w:pPr>
              <w:jc w:val="center"/>
            </w:pPr>
            <w:r>
              <w:rPr>
                <w:sz w:val="20"/>
              </w:rPr>
              <w:t>al. Grunwaldzkiej 101 celem umieszczenia tablicy kierunkowej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6,00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A0549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b/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2A0549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2A0549">
      <w:pPr>
        <w:keepLines/>
        <w:spacing w:before="120" w:after="120"/>
        <w:ind w:hanging="227"/>
      </w:pPr>
      <w:r>
        <w:t>2. </w:t>
      </w:r>
      <w:r>
        <w:t>Czynsz określony</w:t>
      </w:r>
      <w:r>
        <w:t xml:space="preserve"> w skali miesiąca płatny jest do dnia 10 każdego miesiąca, natomiast określony w skali roku w terminie do 31 marca danego roku. </w:t>
      </w:r>
    </w:p>
    <w:p w:rsidR="00A77B3E" w:rsidRDefault="002A0549">
      <w:pPr>
        <w:keepLines/>
        <w:spacing w:before="120" w:after="120"/>
        <w:ind w:hanging="227"/>
      </w:pPr>
      <w:r>
        <w:t>3. </w:t>
      </w:r>
      <w:r>
        <w:t>Wysokość czynszu liczona według podanych w tabeli stawek nie może być niższa niż 24,40 zł.</w:t>
      </w:r>
    </w:p>
    <w:p w:rsidR="00A77B3E" w:rsidRDefault="002A0549">
      <w:pPr>
        <w:keepLines/>
        <w:spacing w:before="120" w:after="120"/>
        <w:ind w:hanging="227"/>
      </w:pPr>
      <w:r>
        <w:t>4. </w:t>
      </w:r>
      <w:r>
        <w:t>Podany w tabeli czynsz za grun</w:t>
      </w:r>
      <w:r>
        <w:t>ty/lokale oddane w najem w drodze przetargu określa stawkę wyjściową do przetargu. </w:t>
      </w:r>
    </w:p>
    <w:p w:rsidR="00A77B3E" w:rsidRDefault="002A0549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 Miasta Elbląga w sprawie ustalenia stawek czynszu za dzierżawę i najem</w:t>
      </w:r>
    </w:p>
    <w:p w:rsidR="00A77B3E" w:rsidRDefault="002A0549">
      <w:pPr>
        <w:spacing w:before="120" w:after="120"/>
      </w:pPr>
      <w:r>
        <w:t xml:space="preserve">nieruchomości stanowiących </w:t>
      </w:r>
      <w:r>
        <w:t>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0F2"/>
    <w:rsid w:val="002A0549"/>
    <w:rsid w:val="008B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C144D0-1072-48C1-AC91-1002BA87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388/2015 z dnia 23 września 2015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2016-12-14T12:31:00Z</dcterms:created>
  <dcterms:modified xsi:type="dcterms:W3CDTF">2016-12-14T12:31:00Z</dcterms:modified>
  <cp:category>Akt prawny</cp:category>
</cp:coreProperties>
</file>