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7157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470/2016</w:t>
      </w:r>
      <w:r>
        <w:rPr>
          <w:b/>
          <w:caps/>
        </w:rPr>
        <w:br/>
        <w:t>Prezydenta Miasta Elbląg</w:t>
      </w:r>
    </w:p>
    <w:p w:rsidR="00A77B3E" w:rsidRDefault="00F7157E">
      <w:pPr>
        <w:spacing w:before="280" w:after="280"/>
        <w:jc w:val="center"/>
        <w:rPr>
          <w:b/>
          <w:caps/>
        </w:rPr>
      </w:pPr>
      <w:r>
        <w:t>z dnia 28 października 2016 r.</w:t>
      </w:r>
    </w:p>
    <w:p w:rsidR="00A77B3E" w:rsidRDefault="00F7157E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F7157E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F7157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B75A6" w:rsidRDefault="00F7157E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7157E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F7157E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AB75A6" w:rsidRDefault="00F7157E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7157E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F7157E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AB75A6" w:rsidRDefault="00F7157E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7157E">
      <w:pPr>
        <w:keepLines/>
        <w:spacing w:before="120" w:after="120"/>
      </w:pPr>
      <w:r>
        <w:t>Wykonanie zarządzenia powierza się Dyrektorowi Zarządu Budynków Komunalnych w Elblągu.</w:t>
      </w:r>
    </w:p>
    <w:p w:rsidR="00AB75A6" w:rsidRDefault="00F7157E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7157E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F7157E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470/2016 Prezydenta  Miasta  Elbląg z dnia 28 października 2016 r.</w:t>
      </w:r>
    </w:p>
    <w:p w:rsidR="00A77B3E" w:rsidRDefault="00F7157E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F7157E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690"/>
        <w:gridCol w:w="1923"/>
        <w:gridCol w:w="866"/>
        <w:gridCol w:w="1498"/>
        <w:gridCol w:w="989"/>
        <w:gridCol w:w="2514"/>
        <w:gridCol w:w="1910"/>
        <w:gridCol w:w="1813"/>
      </w:tblGrid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F7157E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AB75A6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46/65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280/14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Adama</w:t>
            </w:r>
          </w:p>
          <w:p w:rsidR="00A77B3E" w:rsidRDefault="00F7157E">
            <w:pPr>
              <w:jc w:val="center"/>
            </w:pPr>
            <w:r>
              <w:rPr>
                <w:sz w:val="20"/>
              </w:rPr>
              <w:t>Mickiewicza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EL1E/00033282/2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382/3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443/22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0,0241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F7157E">
            <w:pPr>
              <w:jc w:val="center"/>
            </w:pPr>
            <w:r>
              <w:rPr>
                <w:sz w:val="20"/>
              </w:rPr>
              <w:t>Grunwaldzka 7a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30,00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13,80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Aleksandra</w:t>
            </w:r>
          </w:p>
          <w:p w:rsidR="00A77B3E" w:rsidRDefault="00F7157E">
            <w:pPr>
              <w:jc w:val="center"/>
            </w:pPr>
            <w:r>
              <w:rPr>
                <w:sz w:val="20"/>
              </w:rPr>
              <w:t>Fredry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EL1E/00039439/1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23/45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0,6452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20,80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91/70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pomieszczenia gospodarczego – komórki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62/1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0,0507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 xml:space="preserve">Dzierżawa gruntu na cele </w:t>
            </w:r>
            <w:r>
              <w:rPr>
                <w:sz w:val="20"/>
              </w:rPr>
              <w:t>handlowe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33,00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8,30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na cele składowe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91/65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Słonecznikowa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EL1E/00027312/8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70/1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0,1520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na cele rekreacyjne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60,00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16,24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 xml:space="preserve">Najem pomieszczenia </w:t>
            </w:r>
            <w:r>
              <w:rPr>
                <w:sz w:val="20"/>
              </w:rPr>
              <w:t>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17,64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1,46 zł/m2/m-c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lastRenderedPageBreak/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Jodłowa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EL1E/00033110/7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261/1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0,1839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na cele rolne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1839,00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100,00 zł/ha/rok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Robotnicza 68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EL1E/0010546/3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423/73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1,1855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396/12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Saperów 16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EL1E/00078871/6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233/14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0,0734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na cele mieszkaniowe wspólnoty mieszkaniowej przy ul. Saperów 16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734,00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EL1E/00086348/0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579/17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0,3753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Krakusa 151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EL1E/00046429/0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669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B75A6">
        <w:trPr>
          <w:trHeight w:val="1124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Czerniakowska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45/37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1,4650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20,59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7157E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F7157E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F7157E">
      <w:pPr>
        <w:spacing w:before="120" w:after="120"/>
      </w:pPr>
      <w:r>
        <w:t xml:space="preserve">Podany w tabeli czynsz za grunty/lokale oddawane w dzierżawę/najem w drodze przetargu </w:t>
      </w:r>
      <w:r>
        <w:t>określa stawkę wyjściową do przetargu.</w:t>
      </w:r>
    </w:p>
    <w:p w:rsidR="00A77B3E" w:rsidRDefault="00F7157E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5A6"/>
    <w:rsid w:val="00AB75A6"/>
    <w:rsid w:val="00F7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360976-5793-438E-902C-7F74CCF38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470/2016 z dnia 28 października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2016-12-16T08:49:00Z</dcterms:created>
  <dcterms:modified xsi:type="dcterms:W3CDTF">2016-12-16T08:49:00Z</dcterms:modified>
  <cp:category>Akt prawny</cp:category>
</cp:coreProperties>
</file>